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ascii="Times" w:hAnsi="Times" w:cstheme="minorHAnsi"/>
          <w:b/>
          <w:bCs/>
          <w:spacing w:val="-1"/>
          <w:sz w:val="24"/>
          <w:szCs w:val="24"/>
        </w:rPr>
        <w:drawing>
          <wp:inline distT="0" distB="0" distL="0" distR="0">
            <wp:extent cx="807720" cy="807720"/>
            <wp:effectExtent l="0" t="0" r="0" b="0"/>
            <wp:docPr id="1" name="Picture 1" descr="Commonwealth Disabled People's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Disabled People's For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07720" cy="807720"/>
                    </a:xfrm>
                    <a:prstGeom prst="rect">
                      <a:avLst/>
                    </a:prstGeom>
                    <a:noFill/>
                    <a:ln>
                      <a:noFill/>
                    </a:ln>
                  </pic:spPr>
                </pic:pic>
              </a:graphicData>
            </a:graphic>
          </wp:inline>
        </w:drawing>
      </w:r>
    </w:p>
    <w:p>
      <w:pPr>
        <w:pStyle w:val="6"/>
        <w:spacing w:before="0" w:beforeAutospacing="0" w:after="0" w:afterAutospacing="0"/>
        <w:rPr>
          <w:rFonts w:asciiTheme="minorHAnsi" w:hAnsiTheme="minorHAnsi" w:eastAsiaTheme="minorHAnsi" w:cstheme="minorBidi"/>
          <w:sz w:val="22"/>
          <w:szCs w:val="22"/>
        </w:rPr>
      </w:pPr>
    </w:p>
    <w:p>
      <w:pPr>
        <w:pStyle w:val="6"/>
        <w:spacing w:before="0" w:beforeAutospacing="0" w:after="0" w:afterAutospacing="0"/>
        <w:rPr>
          <w:rFonts w:ascii="Segoe UI" w:hAnsi="Segoe UI" w:cs="Segoe UI"/>
          <w:b/>
          <w:bCs/>
          <w:color w:val="2E75B6" w:themeColor="accent1" w:themeShade="BF"/>
          <w:kern w:val="24"/>
          <w:sz w:val="44"/>
          <w:szCs w:val="44"/>
          <w:lang w:val="en-GB"/>
        </w:rPr>
      </w:pPr>
      <w:r>
        <w:rPr>
          <w:rFonts w:ascii="Segoe UI" w:hAnsi="Segoe UI" w:cs="Segoe UI"/>
          <w:b/>
          <w:bCs/>
          <w:color w:val="2E75B6" w:themeColor="accent1" w:themeShade="BF"/>
          <w:kern w:val="24"/>
          <w:sz w:val="44"/>
          <w:szCs w:val="44"/>
          <w:lang w:val="en-GB"/>
        </w:rPr>
        <w:t xml:space="preserve">Module 3 Summary: Health-Mental Health and Covid-19 </w:t>
      </w:r>
    </w:p>
    <w:p>
      <w:pPr>
        <w:pStyle w:val="6"/>
        <w:spacing w:before="0" w:beforeAutospacing="0" w:after="0" w:afterAutospacing="0"/>
        <w:rPr>
          <w:rFonts w:ascii="Segoe UI" w:hAnsi="Segoe UI" w:cs="Segoe UI"/>
          <w:b/>
        </w:rPr>
      </w:pPr>
    </w:p>
    <w:p>
      <w:pPr>
        <w:pStyle w:val="6"/>
        <w:numPr>
          <w:ilvl w:val="0"/>
          <w:numId w:val="1"/>
        </w:numPr>
        <w:spacing w:before="0" w:beforeAutospacing="0" w:after="0" w:afterAutospacing="0"/>
        <w:rPr>
          <w:rFonts w:ascii="Segoe UI" w:hAnsi="Segoe UI" w:cs="Segoe UI"/>
          <w:b/>
        </w:rPr>
      </w:pPr>
      <w:r>
        <w:rPr>
          <w:rFonts w:ascii="Segoe UI" w:hAnsi="Segoe UI" w:cs="Segoe UI"/>
          <w:b/>
          <w:sz w:val="28"/>
          <w:szCs w:val="28"/>
        </w:rPr>
        <w:t>OBJECTIVES OF MODULE 3</w:t>
      </w:r>
      <w:r>
        <w:rPr>
          <w:rFonts w:ascii="Segoe UI" w:hAnsi="Segoe UI" w:cs="Segoe UI"/>
          <w:b/>
        </w:rPr>
        <w:t>;</w:t>
      </w:r>
    </w:p>
    <w:p>
      <w:pPr>
        <w:pStyle w:val="6"/>
        <w:spacing w:before="0" w:beforeAutospacing="0" w:after="0" w:afterAutospacing="0"/>
        <w:ind w:left="720"/>
        <w:rPr>
          <w:rFonts w:ascii="Segoe UI" w:hAnsi="Segoe UI" w:cs="Segoe UI"/>
        </w:rPr>
      </w:pPr>
    </w:p>
    <w:p>
      <w:pPr>
        <w:pStyle w:val="6"/>
        <w:numPr>
          <w:ilvl w:val="0"/>
          <w:numId w:val="2"/>
        </w:numPr>
        <w:spacing w:before="0" w:beforeAutospacing="0" w:after="0" w:afterAutospacing="0"/>
        <w:rPr>
          <w:rFonts w:ascii="Segoe UI" w:hAnsi="Segoe UI" w:cs="Segoe UI"/>
        </w:rPr>
      </w:pPr>
      <w:r>
        <w:rPr>
          <w:rFonts w:ascii="Segoe UI" w:hAnsi="Segoe UI" w:cs="Segoe UI"/>
        </w:rPr>
        <w:t>To discuss health issues with regards to how it affects disabled people.</w:t>
      </w:r>
    </w:p>
    <w:p>
      <w:pPr>
        <w:pStyle w:val="6"/>
        <w:numPr>
          <w:ilvl w:val="0"/>
          <w:numId w:val="2"/>
        </w:numPr>
        <w:spacing w:before="0" w:beforeAutospacing="0" w:after="0" w:afterAutospacing="0"/>
        <w:rPr>
          <w:rFonts w:ascii="Segoe UI" w:hAnsi="Segoe UI" w:cs="Segoe UI"/>
        </w:rPr>
      </w:pPr>
      <w:r>
        <w:rPr>
          <w:rFonts w:ascii="Segoe UI" w:hAnsi="Segoe UI" w:cs="Segoe UI"/>
        </w:rPr>
        <w:t xml:space="preserve">How COVID 19 – pandemic, disproportionately affected disabled people.  </w:t>
      </w:r>
    </w:p>
    <w:p>
      <w:pPr>
        <w:pStyle w:val="6"/>
        <w:numPr>
          <w:ilvl w:val="0"/>
          <w:numId w:val="2"/>
        </w:numPr>
        <w:spacing w:before="0" w:beforeAutospacing="0" w:after="0" w:afterAutospacing="0"/>
        <w:rPr>
          <w:rFonts w:ascii="Segoe UI" w:hAnsi="Segoe UI" w:cs="Segoe UI"/>
        </w:rPr>
      </w:pPr>
      <w:r>
        <w:rPr>
          <w:rFonts w:ascii="Segoe UI" w:hAnsi="Segoe UI" w:cs="Segoe UI"/>
        </w:rPr>
        <w:t>Importance of having inclusive basic services, personal assistants and communication being accessible to disabled people in order to have an inclusive society.</w:t>
      </w:r>
    </w:p>
    <w:p>
      <w:pPr>
        <w:pStyle w:val="6"/>
        <w:numPr>
          <w:ilvl w:val="0"/>
          <w:numId w:val="2"/>
        </w:numPr>
        <w:spacing w:before="0" w:beforeAutospacing="0" w:after="0" w:afterAutospacing="0"/>
        <w:rPr>
          <w:rFonts w:ascii="Segoe UI" w:hAnsi="Segoe UI" w:cs="Segoe UI"/>
        </w:rPr>
      </w:pPr>
      <w:r>
        <w:rPr>
          <w:rFonts w:ascii="Segoe UI" w:hAnsi="Segoe UI" w:cs="Segoe UI"/>
        </w:rPr>
        <w:t>Learn how health impacts the different types of disabilities especially those with cognitive, psychosocial and mental disabilities</w:t>
      </w:r>
    </w:p>
    <w:p>
      <w:pPr>
        <w:pStyle w:val="6"/>
        <w:spacing w:before="0" w:beforeAutospacing="0" w:after="0" w:afterAutospacing="0"/>
        <w:ind w:left="720"/>
        <w:rPr>
          <w:rFonts w:ascii="Segoe UI" w:hAnsi="Segoe UI" w:cs="Segoe UI"/>
        </w:rPr>
      </w:pPr>
    </w:p>
    <w:p>
      <w:pPr>
        <w:pStyle w:val="6"/>
        <w:numPr>
          <w:ilvl w:val="0"/>
          <w:numId w:val="1"/>
        </w:numPr>
        <w:spacing w:before="0" w:beforeAutospacing="0" w:after="0" w:afterAutospacing="0"/>
        <w:rPr>
          <w:rFonts w:ascii="Segoe UI" w:hAnsi="Segoe UI" w:cs="Segoe UI"/>
          <w:b/>
          <w:sz w:val="28"/>
          <w:szCs w:val="28"/>
        </w:rPr>
      </w:pPr>
      <w:r>
        <w:rPr>
          <w:rFonts w:ascii="Segoe UI" w:hAnsi="Segoe UI" w:cs="Segoe UI"/>
          <w:b/>
          <w:sz w:val="28"/>
          <w:szCs w:val="28"/>
        </w:rPr>
        <w:t>THE LANGUAGE CDPF USES</w:t>
      </w:r>
    </w:p>
    <w:p>
      <w:pPr>
        <w:pStyle w:val="6"/>
        <w:numPr>
          <w:ilvl w:val="0"/>
          <w:numId w:val="3"/>
        </w:numPr>
        <w:spacing w:before="0" w:beforeAutospacing="0" w:after="0" w:afterAutospacing="0"/>
        <w:rPr>
          <w:rFonts w:ascii="Segoe UI" w:hAnsi="Segoe UI" w:cs="Segoe UI"/>
          <w:i/>
          <w:color w:val="1F4E79" w:themeColor="accent1" w:themeShade="80"/>
        </w:rPr>
      </w:pPr>
      <w:r>
        <w:rPr>
          <w:rFonts w:ascii="Segoe UI" w:hAnsi="Segoe UI" w:cs="Segoe UI"/>
          <w:b/>
          <w:i/>
          <w:color w:val="1F4E79" w:themeColor="accent1" w:themeShade="80"/>
        </w:rPr>
        <w:t>Disabled people</w:t>
      </w:r>
      <w:r>
        <w:rPr>
          <w:rFonts w:ascii="Segoe UI" w:hAnsi="Segoe UI" w:cs="Segoe UI"/>
          <w:i/>
          <w:color w:val="1F4E79" w:themeColor="accent1" w:themeShade="80"/>
        </w:rPr>
        <w:t>: We choose to call ourselves ‘disabled people’: In the Commonwealth Disabled People’s Forum (CDPF) because of the development of the ‘social model of disability’. We view ourselves as united by a common oppression so are proud to identify as ‘disabled people’ rather than ‘people with disabilities’. When we are talking about the UN Convention on the Rights of Persons with Disabilities we will use ‘people or persons with disabilities’</w:t>
      </w:r>
      <w:r>
        <w:rPr>
          <w:rFonts w:ascii="Segoe UI" w:hAnsi="Segoe UI" w:cs="Segoe UI"/>
        </w:rPr>
        <w:t>.</w:t>
      </w:r>
    </w:p>
    <w:p>
      <w:pPr>
        <w:pStyle w:val="6"/>
        <w:spacing w:before="0" w:beforeAutospacing="0" w:after="0" w:afterAutospacing="0"/>
        <w:ind w:left="720"/>
        <w:rPr>
          <w:rFonts w:ascii="Segoe UI" w:hAnsi="Segoe UI" w:cs="Segoe UI"/>
        </w:rPr>
      </w:pPr>
    </w:p>
    <w:p>
      <w:pPr>
        <w:pStyle w:val="6"/>
        <w:numPr>
          <w:ilvl w:val="0"/>
          <w:numId w:val="1"/>
        </w:numPr>
        <w:spacing w:before="0" w:beforeAutospacing="0" w:after="0" w:afterAutospacing="0"/>
        <w:rPr>
          <w:rFonts w:ascii="Segoe UI" w:hAnsi="Segoe UI" w:cs="Segoe UI"/>
          <w:b/>
          <w:sz w:val="28"/>
          <w:szCs w:val="28"/>
        </w:rPr>
      </w:pPr>
      <w:r>
        <w:rPr>
          <w:rFonts w:ascii="Segoe UI" w:hAnsi="Segoe UI" w:cs="Segoe UI"/>
          <w:b/>
          <w:sz w:val="28"/>
          <w:szCs w:val="28"/>
        </w:rPr>
        <w:t>STATISTICS</w:t>
      </w:r>
    </w:p>
    <w:p>
      <w:pPr>
        <w:pStyle w:val="7"/>
        <w:numPr>
          <w:ilvl w:val="0"/>
          <w:numId w:val="3"/>
        </w:numPr>
        <w:shd w:val="clear" w:color="auto" w:fill="FFFFFF"/>
        <w:spacing w:before="100" w:beforeAutospacing="1" w:after="75" w:line="240" w:lineRule="auto"/>
        <w:rPr>
          <w:rFonts w:ascii="Segoe UI" w:hAnsi="Segoe UI" w:eastAsia="Times New Roman" w:cs="Segoe UI"/>
          <w:bCs/>
          <w:color w:val="3C4245"/>
          <w:sz w:val="24"/>
          <w:szCs w:val="24"/>
        </w:rPr>
      </w:pPr>
      <w:r>
        <w:rPr>
          <w:rFonts w:ascii="Segoe UI" w:hAnsi="Segoe UI" w:eastAsia="Times New Roman" w:cs="Segoe UI"/>
          <w:bCs/>
          <w:color w:val="3C4245"/>
          <w:sz w:val="24"/>
          <w:szCs w:val="24"/>
        </w:rPr>
        <w:t>An estimated 1.3 billion people experience significant disability. This represents 16% of the world’s population, or 1 in 6 of us. Some persons with disabilities die up to 20 years earlier than those without disabilities.20% of world’s poorest people have a disability</w:t>
      </w:r>
    </w:p>
    <w:p>
      <w:pPr>
        <w:pStyle w:val="7"/>
        <w:numPr>
          <w:ilvl w:val="0"/>
          <w:numId w:val="3"/>
        </w:numPr>
        <w:shd w:val="clear" w:color="auto" w:fill="FFFFFF"/>
        <w:spacing w:before="100" w:beforeAutospacing="1" w:after="75" w:line="240" w:lineRule="auto"/>
        <w:rPr>
          <w:rFonts w:ascii="Segoe UI" w:hAnsi="Segoe UI" w:eastAsia="Times New Roman" w:cs="Segoe UI"/>
          <w:bCs/>
          <w:color w:val="3C4245"/>
          <w:sz w:val="24"/>
          <w:szCs w:val="24"/>
        </w:rPr>
      </w:pPr>
      <w:r>
        <w:rPr>
          <w:rFonts w:ascii="Segoe UI" w:hAnsi="Segoe UI" w:eastAsia="Times New Roman" w:cs="Segoe UI"/>
          <w:bCs/>
          <w:color w:val="3C4245"/>
          <w:sz w:val="24"/>
          <w:szCs w:val="24"/>
        </w:rPr>
        <w:t>Disabled People are impacted more than others, due to attitudinal, environmental and institutional barriers that were reproduced in the COVID-19 response</w:t>
      </w:r>
    </w:p>
    <w:p>
      <w:pPr>
        <w:pStyle w:val="7"/>
        <w:numPr>
          <w:ilvl w:val="0"/>
          <w:numId w:val="3"/>
        </w:numPr>
        <w:shd w:val="clear" w:color="auto" w:fill="FFFFFF"/>
        <w:spacing w:before="100" w:beforeAutospacing="1" w:after="75" w:line="240" w:lineRule="auto"/>
        <w:rPr>
          <w:rFonts w:ascii="Segoe UI" w:hAnsi="Segoe UI" w:eastAsia="Times New Roman" w:cs="Segoe UI"/>
          <w:bCs/>
          <w:color w:val="3C4245"/>
          <w:sz w:val="24"/>
          <w:szCs w:val="24"/>
        </w:rPr>
      </w:pPr>
      <w:r>
        <w:rPr>
          <w:rFonts w:ascii="Segoe UI" w:hAnsi="Segoe UI" w:eastAsia="Times New Roman" w:cs="Segoe UI"/>
          <w:bCs/>
          <w:color w:val="3C4245"/>
          <w:sz w:val="24"/>
          <w:szCs w:val="24"/>
        </w:rPr>
        <w:t>Disabled people have twice the risk of developing conditions such as depression, asthma, diabetes, stroke, obesity or poor oral health and face many health inequities.</w:t>
      </w:r>
    </w:p>
    <w:p>
      <w:pPr>
        <w:pStyle w:val="7"/>
        <w:numPr>
          <w:ilvl w:val="0"/>
          <w:numId w:val="3"/>
        </w:numPr>
        <w:shd w:val="clear" w:color="auto" w:fill="FFFFFF"/>
        <w:spacing w:before="100" w:beforeAutospacing="1" w:after="75" w:line="240" w:lineRule="auto"/>
        <w:rPr>
          <w:rFonts w:ascii="Segoe UI" w:hAnsi="Segoe UI" w:eastAsia="Times New Roman" w:cs="Segoe UI"/>
          <w:bCs/>
          <w:color w:val="3C4245"/>
          <w:sz w:val="24"/>
          <w:szCs w:val="24"/>
        </w:rPr>
      </w:pPr>
      <w:r>
        <w:rPr>
          <w:rFonts w:ascii="Segoe UI" w:hAnsi="Segoe UI" w:eastAsia="Times New Roman" w:cs="Segoe UI"/>
          <w:bCs/>
          <w:color w:val="3C4245"/>
          <w:sz w:val="24"/>
          <w:szCs w:val="24"/>
        </w:rPr>
        <w:t xml:space="preserve">Health inequities arise from unfair conditions faced by disabled people including stigma, discrimination, poverty, exclusion from education and employment, and barriers faced in the health system itself. </w:t>
      </w:r>
      <w:r>
        <w:rPr>
          <w:rFonts w:ascii="Segoe UI" w:hAnsi="Segoe UI" w:eastAsia="Times New Roman" w:cs="Segoe UI"/>
          <w:bCs/>
          <w:i/>
          <w:color w:val="3C4245"/>
        </w:rPr>
        <w:t xml:space="preserve">Source; World Health Organization  </w:t>
      </w:r>
      <w:r>
        <w:fldChar w:fldCharType="begin"/>
      </w:r>
      <w:r>
        <w:instrText xml:space="preserve"> HYPERLINK "https://www.who.int/news-room/fact-sheets/detail/disability-and-health" </w:instrText>
      </w:r>
      <w:r>
        <w:fldChar w:fldCharType="separate"/>
      </w:r>
      <w:r>
        <w:rPr>
          <w:rStyle w:val="5"/>
          <w:rFonts w:ascii="Segoe UI" w:hAnsi="Segoe UI" w:eastAsia="Times New Roman" w:cs="Segoe UI"/>
          <w:bCs/>
          <w:i/>
        </w:rPr>
        <w:t>Disability (who.int)</w:t>
      </w:r>
      <w:r>
        <w:rPr>
          <w:rStyle w:val="5"/>
          <w:rFonts w:ascii="Segoe UI" w:hAnsi="Segoe UI" w:eastAsia="Times New Roman" w:cs="Segoe UI"/>
          <w:bCs/>
          <w:i/>
        </w:rPr>
        <w:fldChar w:fldCharType="end"/>
      </w:r>
    </w:p>
    <w:p>
      <w:pPr>
        <w:pStyle w:val="6"/>
        <w:spacing w:before="0" w:beforeAutospacing="0" w:after="0" w:afterAutospacing="0"/>
        <w:rPr>
          <w:rFonts w:ascii="Segoe UI" w:hAnsi="Segoe UI" w:cs="Segoe UI"/>
        </w:rPr>
      </w:pPr>
    </w:p>
    <w:p>
      <w:pPr>
        <w:pStyle w:val="6"/>
        <w:numPr>
          <w:ilvl w:val="0"/>
          <w:numId w:val="1"/>
        </w:numPr>
        <w:spacing w:before="0" w:beforeAutospacing="0" w:after="0" w:afterAutospacing="0"/>
        <w:rPr>
          <w:rFonts w:ascii="Segoe UI" w:hAnsi="Segoe UI" w:cs="Segoe UI"/>
          <w:b/>
          <w:sz w:val="28"/>
          <w:szCs w:val="28"/>
        </w:rPr>
      </w:pPr>
      <w:r>
        <w:rPr>
          <w:rFonts w:ascii="Segoe UI" w:hAnsi="Segoe UI" w:cs="Segoe UI"/>
          <w:b/>
          <w:sz w:val="28"/>
          <w:szCs w:val="28"/>
        </w:rPr>
        <w:t>ARTICLE 25 OF THE UNCRPD</w:t>
      </w:r>
    </w:p>
    <w:p>
      <w:pPr>
        <w:pStyle w:val="6"/>
        <w:numPr>
          <w:ilvl w:val="0"/>
          <w:numId w:val="4"/>
        </w:numPr>
        <w:spacing w:after="0"/>
        <w:rPr>
          <w:rFonts w:ascii="Segoe UI" w:hAnsi="Segoe UI" w:cs="Segoe UI"/>
        </w:rPr>
      </w:pPr>
      <w:r>
        <w:rPr>
          <w:rFonts w:ascii="Segoe UI" w:hAnsi="Segoe UI" w:cs="Segoe UI"/>
        </w:rPr>
        <w:t>Article 25 reinforces the right of persons with disabilities to the highest attainable standard of health without discrimination on the basis of disability</w:t>
      </w:r>
    </w:p>
    <w:p>
      <w:pPr>
        <w:pStyle w:val="6"/>
        <w:numPr>
          <w:ilvl w:val="0"/>
          <w:numId w:val="4"/>
        </w:numPr>
        <w:spacing w:after="0"/>
        <w:rPr>
          <w:rFonts w:ascii="Segoe UI" w:hAnsi="Segoe UI" w:cs="Segoe UI"/>
        </w:rPr>
      </w:pPr>
      <w:r>
        <w:rPr>
          <w:rFonts w:ascii="Segoe UI" w:hAnsi="Segoe UI" w:cs="Segoe UI"/>
        </w:rPr>
        <w:t>State parties commits to provide persons with disabilities with the same range, quality and standard of free or affordable health care and programs as provided to other persons, including in the area of sexual and reproductive health and population-based public health programs;</w:t>
      </w:r>
    </w:p>
    <w:p>
      <w:pPr>
        <w:pStyle w:val="6"/>
        <w:numPr>
          <w:ilvl w:val="0"/>
          <w:numId w:val="4"/>
        </w:numPr>
        <w:spacing w:after="0"/>
        <w:rPr>
          <w:rFonts w:ascii="Segoe UI" w:hAnsi="Segoe UI" w:cs="Segoe UI"/>
        </w:rPr>
      </w:pPr>
      <w:r>
        <w:rPr>
          <w:rFonts w:ascii="Segoe UI" w:hAnsi="Segoe UI" w:cs="Segoe UI"/>
        </w:rPr>
        <w:t>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pPr>
        <w:pStyle w:val="6"/>
        <w:numPr>
          <w:ilvl w:val="0"/>
          <w:numId w:val="4"/>
        </w:numPr>
        <w:spacing w:after="0"/>
        <w:rPr>
          <w:rFonts w:ascii="Segoe UI" w:hAnsi="Segoe UI" w:cs="Segoe UI"/>
        </w:rPr>
      </w:pPr>
      <w:r>
        <w:rPr>
          <w:rFonts w:ascii="Segoe UI" w:hAnsi="Segoe UI" w:cs="Segoe UI"/>
        </w:rPr>
        <w:t xml:space="preserve">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 </w:t>
      </w:r>
    </w:p>
    <w:p>
      <w:pPr>
        <w:pStyle w:val="6"/>
        <w:numPr>
          <w:ilvl w:val="0"/>
          <w:numId w:val="4"/>
        </w:numPr>
        <w:spacing w:after="0"/>
        <w:rPr>
          <w:rFonts w:ascii="Segoe UI" w:hAnsi="Segoe UI" w:cs="Segoe UI"/>
        </w:rPr>
      </w:pPr>
      <w:r>
        <w:rPr>
          <w:rFonts w:ascii="Segoe UI" w:hAnsi="Segoe UI" w:cs="Segoe UI"/>
        </w:rPr>
        <w:t>Forced treatment for example, where this occurs on the basis of disability, would not be in compliance with the Convention. Article 12 specifically highlights the universal legal capacity right which should be accorded to disabled people regardless of their impairments. For example, disabled people with psychosocial, down syndrome and mental impairments, should be allowed to exercise their will and enjoy their human rights.</w:t>
      </w:r>
    </w:p>
    <w:p>
      <w:pPr>
        <w:pStyle w:val="6"/>
        <w:numPr>
          <w:ilvl w:val="0"/>
          <w:numId w:val="4"/>
        </w:numPr>
        <w:spacing w:after="0"/>
        <w:rPr>
          <w:rFonts w:ascii="Segoe UI" w:hAnsi="Segoe UI" w:cs="Segoe UI"/>
        </w:rPr>
      </w:pPr>
      <w:r>
        <w:rPr>
          <w:rFonts w:ascii="Segoe UI" w:hAnsi="Segoe UI" w:cs="Segoe UI"/>
          <w:lang w:val="en-IN"/>
        </w:rPr>
        <w:t xml:space="preserve">SDGs, reemphasizes the need </w:t>
      </w:r>
      <w:r>
        <w:rPr>
          <w:rFonts w:ascii="Segoe UI" w:hAnsi="Segoe UI" w:cs="Segoe UI"/>
          <w:b/>
          <w:bCs/>
          <w:lang w:val="en-IN"/>
        </w:rPr>
        <w:t>to ‘ensure healthy lives and promotion of well-being for all at all ages under goal 3.</w:t>
      </w:r>
    </w:p>
    <w:p>
      <w:pPr>
        <w:pStyle w:val="6"/>
        <w:spacing w:after="0"/>
        <w:ind w:left="720"/>
        <w:rPr>
          <w:rFonts w:ascii="Segoe UI" w:hAnsi="Segoe UI" w:cs="Segoe UI"/>
        </w:rPr>
      </w:pPr>
    </w:p>
    <w:p>
      <w:pPr>
        <w:pStyle w:val="6"/>
        <w:numPr>
          <w:ilvl w:val="0"/>
          <w:numId w:val="1"/>
        </w:numPr>
        <w:spacing w:after="0"/>
        <w:rPr>
          <w:rFonts w:ascii="Segoe UI" w:hAnsi="Segoe UI" w:cs="Segoe UI"/>
          <w:b/>
          <w:sz w:val="28"/>
          <w:szCs w:val="28"/>
        </w:rPr>
      </w:pPr>
      <w:r>
        <w:rPr>
          <w:rFonts w:ascii="Segoe UI" w:hAnsi="Segoe UI" w:cs="Segoe UI"/>
          <w:b/>
          <w:sz w:val="28"/>
          <w:szCs w:val="28"/>
        </w:rPr>
        <w:t>COVID 19 PANDEMIC</w:t>
      </w:r>
    </w:p>
    <w:p>
      <w:pPr>
        <w:pStyle w:val="6"/>
        <w:numPr>
          <w:ilvl w:val="0"/>
          <w:numId w:val="5"/>
        </w:numPr>
        <w:spacing w:after="0"/>
        <w:rPr>
          <w:rFonts w:ascii="Segoe UI" w:hAnsi="Segoe UI" w:cs="Segoe UI"/>
          <w:b/>
        </w:rPr>
      </w:pPr>
      <w:r>
        <w:rPr>
          <w:rFonts w:ascii="Segoe UI" w:hAnsi="Segoe UI" w:cs="Segoe UI"/>
        </w:rPr>
        <w:t>Disabled People were impacted more than others, due to attitudinal, environmental and institutional barriers that are reproduced in the COVID-19 response</w:t>
      </w:r>
      <w:r>
        <w:rPr>
          <w:rFonts w:ascii="Segoe UI" w:hAnsi="Segoe UI" w:cs="Segoe UI"/>
          <w:b/>
        </w:rPr>
        <w:t>.</w:t>
      </w:r>
    </w:p>
    <w:p>
      <w:pPr>
        <w:pStyle w:val="6"/>
        <w:numPr>
          <w:ilvl w:val="0"/>
          <w:numId w:val="5"/>
        </w:numPr>
        <w:spacing w:after="0"/>
        <w:rPr>
          <w:rFonts w:ascii="Segoe UI" w:hAnsi="Segoe UI" w:cs="Segoe UI"/>
          <w:b/>
        </w:rPr>
      </w:pPr>
      <w:r>
        <w:rPr>
          <w:rFonts w:ascii="Segoe UI" w:hAnsi="Segoe UI" w:cs="Segoe UI"/>
        </w:rPr>
        <w:t>During COVID-19, disable people faced more discrimination, violence and barriers to accessing information, education and services related to gender based violence and sexual and reproductive health</w:t>
      </w:r>
      <w:r>
        <w:rPr>
          <w:rFonts w:ascii="Segoe UI" w:hAnsi="Segoe UI" w:cs="Segoe UI"/>
          <w:b/>
        </w:rPr>
        <w:t xml:space="preserve">. </w:t>
      </w:r>
    </w:p>
    <w:p>
      <w:pPr>
        <w:pStyle w:val="6"/>
        <w:numPr>
          <w:ilvl w:val="0"/>
          <w:numId w:val="5"/>
        </w:numPr>
        <w:spacing w:after="0"/>
        <w:rPr>
          <w:rFonts w:ascii="Segoe UI" w:hAnsi="Segoe UI" w:cs="Segoe UI"/>
        </w:rPr>
      </w:pPr>
      <w:r>
        <w:rPr>
          <w:rFonts w:ascii="Segoe UI" w:hAnsi="Segoe UI" w:cs="Segoe UI"/>
        </w:rPr>
        <w:t>Many disabled people have pre-existing health conditions that made them more susceptible to contracting the virus made them to experience more severe symptoms upon infection resulting in elevated levels of death</w:t>
      </w:r>
    </w:p>
    <w:p>
      <w:pPr>
        <w:pStyle w:val="6"/>
        <w:numPr>
          <w:ilvl w:val="0"/>
          <w:numId w:val="5"/>
        </w:numPr>
        <w:spacing w:after="0"/>
        <w:rPr>
          <w:rFonts w:ascii="Segoe UI" w:hAnsi="Segoe UI" w:cs="Segoe UI"/>
        </w:rPr>
      </w:pPr>
      <w:r>
        <w:rPr>
          <w:rFonts w:ascii="Segoe UI" w:hAnsi="Segoe UI" w:cs="Segoe UI"/>
        </w:rPr>
        <w:t>Coronavirus adversely affected disabled people in many areas of their lives including mental health, vulnerability to diseases, health and wellbeing, livelihood, care and support Education and increased domestic abuse for girls and women.</w:t>
      </w:r>
    </w:p>
    <w:p>
      <w:pPr>
        <w:pStyle w:val="6"/>
        <w:numPr>
          <w:ilvl w:val="0"/>
          <w:numId w:val="6"/>
        </w:numPr>
        <w:spacing w:after="0"/>
        <w:rPr>
          <w:rFonts w:ascii="Segoe UI" w:hAnsi="Segoe UI" w:cs="Segoe UI"/>
        </w:rPr>
      </w:pPr>
      <w:r>
        <w:rPr>
          <w:rFonts w:ascii="Segoe UI" w:hAnsi="Segoe UI" w:cs="Segoe UI"/>
          <w:b/>
        </w:rPr>
        <w:t>Health and well-being</w:t>
      </w:r>
      <w:r>
        <w:rPr>
          <w:rFonts w:ascii="Segoe UI" w:hAnsi="Segoe UI" w:cs="Segoe UI"/>
        </w:rPr>
        <w:t xml:space="preserve">; </w:t>
      </w:r>
      <w:r>
        <w:rPr>
          <w:rFonts w:ascii="Segoe UI" w:hAnsi="Segoe UI" w:cs="Segoe UI"/>
          <w:lang w:val="en-GB"/>
        </w:rPr>
        <w:t xml:space="preserve">Those with physical disabilities that affect the immune system, lung function or other related factors were at higher risk of serious complications such as confusion, delirium, stroke, liver failure and seizures. Over two in five of those whose care had been reduced or cancelled said their health got worse. Health care workers were not equipped to deal with disabled people. Those with such conditions as diabetes faced problems getting their tests done. Those living in institutions/care homes and underrepresented groups of disabled people such as deaf blind, psychosocial and those with learning difficulty particularly hard hit. </w:t>
      </w:r>
      <w:r>
        <w:rPr>
          <w:rFonts w:ascii="Segoe UI" w:hAnsi="Segoe UI" w:cs="Segoe UI"/>
          <w:i/>
          <w:color w:val="1F4E79" w:themeColor="accent1" w:themeShade="80"/>
          <w:lang w:val="en-GB"/>
        </w:rPr>
        <w:t>Source Office of National Statistics, UK - Social impact of coronavirus (updated with data from 18-22 Nov 2020)</w:t>
      </w:r>
      <w:r>
        <w:rPr>
          <w:rFonts w:ascii="Segoe UI" w:hAnsi="Segoe UI" w:cs="Segoe UI"/>
        </w:rPr>
        <w:t>. In India, Swabhiman and NCPEDP’s surveys revealed that 67 % of persons with disabilities interviewed had no access to doorstep delivery of essentials by the government. Only 22% had the access to delivery of essentials.</w:t>
      </w:r>
    </w:p>
    <w:p>
      <w:pPr>
        <w:pStyle w:val="6"/>
        <w:numPr>
          <w:ilvl w:val="0"/>
          <w:numId w:val="6"/>
        </w:numPr>
        <w:spacing w:after="0"/>
      </w:pPr>
      <w:r>
        <w:rPr>
          <w:rFonts w:ascii="Segoe UI" w:hAnsi="Segoe UI" w:cs="Segoe UI"/>
          <w:b/>
        </w:rPr>
        <w:t>Care and Support</w:t>
      </w:r>
      <w:r>
        <w:rPr>
          <w:rFonts w:ascii="Segoe UI" w:hAnsi="Segoe UI" w:cs="Segoe UI"/>
        </w:rPr>
        <w:t xml:space="preserve"> -</w:t>
      </w:r>
      <w:r>
        <w:t xml:space="preserve"> </w:t>
      </w:r>
      <w:r>
        <w:rPr>
          <w:rFonts w:ascii="Segoe UI" w:hAnsi="Segoe UI" w:cs="Segoe UI"/>
        </w:rPr>
        <w:t xml:space="preserve">The near total lockdown meant that caregivers were overnight not able to be with PwDs who depended on them. No passes, Lack of transport, Apartments &amp; colonies closed gates. </w:t>
      </w:r>
    </w:p>
    <w:p>
      <w:pPr>
        <w:pStyle w:val="6"/>
        <w:numPr>
          <w:ilvl w:val="0"/>
          <w:numId w:val="6"/>
        </w:numPr>
        <w:spacing w:after="0"/>
        <w:rPr>
          <w:rFonts w:ascii="Segoe UI" w:hAnsi="Segoe UI" w:cs="Segoe UI"/>
        </w:rPr>
      </w:pPr>
      <w:r>
        <w:rPr>
          <w:rFonts w:ascii="Segoe UI" w:hAnsi="Segoe UI" w:cs="Segoe UI"/>
          <w:b/>
        </w:rPr>
        <w:t>Domestic abuse</w:t>
      </w:r>
      <w:r>
        <w:rPr>
          <w:rFonts w:ascii="Segoe UI" w:hAnsi="Segoe UI" w:cs="Segoe UI"/>
        </w:rPr>
        <w:t xml:space="preserve"> - Before the Pandemic Disabled Women and Girls reported 2-3x level of abuse as non-disabled women. One in three women respondents reported experiencing an increased risk of physical and/or sexual violence. COVID-19 Disability Rights Monitor Global Report received 25 testimonies of grave human rights abuses which included multiple forms of assault and violence. </w:t>
      </w:r>
    </w:p>
    <w:p>
      <w:pPr>
        <w:pStyle w:val="6"/>
        <w:numPr>
          <w:ilvl w:val="0"/>
          <w:numId w:val="6"/>
        </w:numPr>
        <w:spacing w:after="0"/>
        <w:rPr>
          <w:rFonts w:ascii="Segoe UI" w:hAnsi="Segoe UI" w:cs="Segoe UI"/>
        </w:rPr>
      </w:pPr>
      <w:r>
        <w:rPr>
          <w:rFonts w:ascii="Segoe UI" w:hAnsi="Segoe UI" w:cs="Segoe UI"/>
          <w:b/>
        </w:rPr>
        <w:t>Livelihood</w:t>
      </w:r>
      <w:r>
        <w:rPr>
          <w:rFonts w:ascii="Segoe UI" w:hAnsi="Segoe UI" w:cs="Segoe UI"/>
        </w:rPr>
        <w:t xml:space="preserve"> – </w:t>
      </w:r>
      <w:r>
        <w:rPr>
          <w:rFonts w:ascii="Segoe UI" w:hAnsi="Segoe UI" w:cs="Segoe UI"/>
          <w:lang w:val="en-IN"/>
        </w:rPr>
        <w:t xml:space="preserve">Many respondents surveyed in both Kenya and Bangladesh faced employment and job insecurity. They were most concerned about their finances, due to a lack of access to government benefits and the impact of unemployment. In Kenya, </w:t>
      </w:r>
      <w:r>
        <w:rPr>
          <w:rFonts w:ascii="Segoe UI" w:hAnsi="Segoe UI" w:cs="Segoe UI"/>
          <w:b/>
          <w:bCs/>
          <w:lang w:val="en-IN"/>
        </w:rPr>
        <w:t xml:space="preserve">68% </w:t>
      </w:r>
      <w:r>
        <w:rPr>
          <w:rFonts w:ascii="Segoe UI" w:hAnsi="Segoe UI" w:cs="Segoe UI"/>
          <w:lang w:val="en-IN"/>
        </w:rPr>
        <w:t xml:space="preserve">of persons with disabilities reported not being able to work, while </w:t>
      </w:r>
      <w:r>
        <w:rPr>
          <w:rFonts w:ascii="Segoe UI" w:hAnsi="Segoe UI" w:cs="Segoe UI"/>
          <w:b/>
          <w:bCs/>
          <w:lang w:val="en-IN"/>
        </w:rPr>
        <w:t xml:space="preserve">65% </w:t>
      </w:r>
      <w:r>
        <w:rPr>
          <w:rFonts w:ascii="Segoe UI" w:hAnsi="Segoe UI" w:cs="Segoe UI"/>
          <w:lang w:val="en-IN"/>
        </w:rPr>
        <w:t xml:space="preserve">felt insecurity in their current jobs. In Bangladesh, </w:t>
      </w:r>
      <w:r>
        <w:rPr>
          <w:rFonts w:ascii="Segoe UI" w:hAnsi="Segoe UI" w:cs="Segoe UI"/>
          <w:b/>
          <w:bCs/>
          <w:lang w:val="en-IN"/>
        </w:rPr>
        <w:t xml:space="preserve">80% </w:t>
      </w:r>
      <w:r>
        <w:rPr>
          <w:rFonts w:ascii="Segoe UI" w:hAnsi="Segoe UI" w:cs="Segoe UI"/>
          <w:lang w:val="en-IN"/>
        </w:rPr>
        <w:t xml:space="preserve">reported not being able to work and </w:t>
      </w:r>
      <w:r>
        <w:rPr>
          <w:rFonts w:ascii="Segoe UI" w:hAnsi="Segoe UI" w:cs="Segoe UI"/>
          <w:b/>
          <w:bCs/>
          <w:lang w:val="en-IN"/>
        </w:rPr>
        <w:t xml:space="preserve">more than 85% </w:t>
      </w:r>
      <w:r>
        <w:rPr>
          <w:rFonts w:ascii="Segoe UI" w:hAnsi="Segoe UI" w:cs="Segoe UI"/>
          <w:lang w:val="en-IN"/>
        </w:rPr>
        <w:t xml:space="preserve">felt insecurity in their current job. (Leonard Cheshire and UK Aid) </w:t>
      </w:r>
    </w:p>
    <w:p>
      <w:pPr>
        <w:pStyle w:val="6"/>
        <w:numPr>
          <w:ilvl w:val="0"/>
          <w:numId w:val="6"/>
        </w:numPr>
        <w:spacing w:after="0"/>
        <w:rPr>
          <w:rFonts w:ascii="Segoe UI" w:hAnsi="Segoe UI" w:cs="Segoe UI"/>
        </w:rPr>
      </w:pPr>
      <w:r>
        <w:rPr>
          <w:rFonts w:ascii="Segoe UI" w:hAnsi="Segoe UI" w:cs="Segoe UI"/>
          <w:b/>
        </w:rPr>
        <w:t xml:space="preserve">Education – </w:t>
      </w:r>
      <w:r>
        <w:rPr>
          <w:rFonts w:ascii="Segoe UI" w:hAnsi="Segoe UI" w:cs="Segoe UI"/>
        </w:rPr>
        <w:t>The pandemic negatively impacted access to education for disabled people. Lockdown measures led to school closure for long periods. Disabled students often missed on remote teaching by computer, phone as did not have IT at home or it was not adapted for their needs. Some countries introduced lessons on radio or TV. The curriculum and materials that were offered was not differentiated. Lack of peer support and isolation led to increased anxiety and depression. Existing inequalities of income and social insecurity were multiplied. Poorer children / disabled children missed out on feeding programs. In UK Surveys show a disproportionate negative impact on disabled children</w:t>
      </w:r>
    </w:p>
    <w:p>
      <w:pPr>
        <w:pStyle w:val="6"/>
        <w:numPr>
          <w:ilvl w:val="0"/>
          <w:numId w:val="1"/>
        </w:numPr>
        <w:spacing w:after="0"/>
        <w:rPr>
          <w:rFonts w:ascii="Segoe UI" w:hAnsi="Segoe UI" w:cs="Segoe UI"/>
          <w:b/>
          <w:sz w:val="28"/>
          <w:szCs w:val="28"/>
        </w:rPr>
      </w:pPr>
      <w:r>
        <w:rPr>
          <w:rFonts w:ascii="Segoe UI" w:hAnsi="Segoe UI" w:cs="Segoe UI"/>
          <w:b/>
          <w:sz w:val="28"/>
          <w:szCs w:val="28"/>
        </w:rPr>
        <w:t>MENTAL HEALTH</w:t>
      </w:r>
    </w:p>
    <w:p>
      <w:pPr>
        <w:pStyle w:val="6"/>
        <w:numPr>
          <w:ilvl w:val="0"/>
          <w:numId w:val="7"/>
        </w:numPr>
        <w:spacing w:after="0"/>
        <w:rPr>
          <w:rFonts w:ascii="Segoe UI" w:hAnsi="Segoe UI" w:cs="Segoe UI"/>
        </w:rPr>
      </w:pPr>
      <w:r>
        <w:rPr>
          <w:rFonts w:ascii="Segoe UI" w:hAnsi="Segoe UI" w:cs="Segoe UI"/>
        </w:rPr>
        <w:t xml:space="preserve">Research on COVID-19 shows that the coronavirus pandemic increased psychological distress both in the general population and among high-risk groups. Behaviors such as physical distancing, as well as their social and economic impacts, worsened mental health consequences. </w:t>
      </w:r>
    </w:p>
    <w:p>
      <w:pPr>
        <w:pStyle w:val="6"/>
        <w:numPr>
          <w:ilvl w:val="0"/>
          <w:numId w:val="7"/>
        </w:numPr>
        <w:spacing w:after="0"/>
        <w:rPr>
          <w:rFonts w:ascii="Segoe UI" w:hAnsi="Segoe UI" w:cs="Segoe UI"/>
        </w:rPr>
      </w:pPr>
      <w:r>
        <w:rPr>
          <w:rFonts w:ascii="Segoe UI" w:hAnsi="Segoe UI" w:cs="Segoe UI"/>
        </w:rPr>
        <w:t>Research on the psychological impact of mass trauma (e.g., natural disasters, flu outbreaks) suggests that the pandemic might particularly harm the mental health of marginalized populations who have less access to socioeconomic resources and supportive social networks.</w:t>
      </w:r>
    </w:p>
    <w:p>
      <w:pPr>
        <w:pStyle w:val="6"/>
        <w:numPr>
          <w:ilvl w:val="0"/>
          <w:numId w:val="7"/>
        </w:numPr>
        <w:spacing w:after="0"/>
        <w:rPr>
          <w:rFonts w:ascii="Segoe UI" w:hAnsi="Segoe UI" w:cs="Segoe UI"/>
        </w:rPr>
      </w:pPr>
      <w:r>
        <w:rPr>
          <w:rFonts w:ascii="Segoe UI" w:hAnsi="Segoe UI" w:cs="Segoe UI"/>
        </w:rPr>
        <w:t xml:space="preserve">There are unique stressors and challenges that could worsen mental health for disabled people during the COVID-19 crisis. </w:t>
      </w:r>
    </w:p>
    <w:p>
      <w:pPr>
        <w:pStyle w:val="6"/>
        <w:numPr>
          <w:ilvl w:val="0"/>
          <w:numId w:val="7"/>
        </w:numPr>
        <w:spacing w:after="0"/>
        <w:rPr>
          <w:rFonts w:ascii="Segoe UI" w:hAnsi="Segoe UI" w:cs="Segoe UI"/>
        </w:rPr>
      </w:pPr>
      <w:r>
        <w:rPr>
          <w:rFonts w:ascii="Segoe UI" w:hAnsi="Segoe UI" w:cs="Segoe UI"/>
        </w:rPr>
        <w:t>Research on past pandemics shows that disabled people find it harder to access critical medical supplies which can become even more challenging as resources become scarce</w:t>
      </w:r>
    </w:p>
    <w:p>
      <w:pPr>
        <w:pStyle w:val="6"/>
        <w:numPr>
          <w:ilvl w:val="0"/>
          <w:numId w:val="7"/>
        </w:numPr>
        <w:spacing w:after="0"/>
        <w:rPr>
          <w:rFonts w:ascii="Segoe UI" w:hAnsi="Segoe UI" w:cs="Segoe UI"/>
        </w:rPr>
      </w:pPr>
      <w:r>
        <w:rPr>
          <w:rFonts w:ascii="Segoe UI" w:hAnsi="Segoe UI" w:cs="Segoe UI"/>
        </w:rPr>
        <w:t>Social isolation and loneliness have been associated with increases in heart disease, dementia and other health problems according to the National Academy of Science, Engineering and Health</w:t>
      </w:r>
    </w:p>
    <w:p>
      <w:pPr>
        <w:pStyle w:val="6"/>
        <w:spacing w:before="0" w:beforeAutospacing="0" w:after="0" w:afterAutospacing="0"/>
        <w:rPr>
          <w:rFonts w:ascii="Segoe UI" w:hAnsi="Segoe UI" w:cs="Segoe UI"/>
        </w:rPr>
      </w:pPr>
    </w:p>
    <w:p>
      <w:pPr>
        <w:pStyle w:val="6"/>
        <w:numPr>
          <w:ilvl w:val="0"/>
          <w:numId w:val="1"/>
        </w:numPr>
        <w:spacing w:before="0" w:beforeAutospacing="0" w:after="0" w:afterAutospacing="0"/>
        <w:rPr>
          <w:rFonts w:ascii="Segoe UI" w:hAnsi="Segoe UI" w:cs="Segoe UI"/>
        </w:rPr>
      </w:pPr>
      <w:r>
        <w:rPr>
          <w:rFonts w:ascii="Segoe UI" w:hAnsi="Segoe UI" w:cs="Segoe UI"/>
          <w:b/>
          <w:sz w:val="28"/>
          <w:szCs w:val="28"/>
        </w:rPr>
        <w:t>BARRIERS TO ADQUATE HEALTH CARE FOR DISABLED PEOPLE</w:t>
      </w:r>
      <w:r>
        <w:rPr>
          <w:rFonts w:ascii="Segoe UI" w:hAnsi="Segoe UI" w:cs="Segoe UI"/>
        </w:rPr>
        <w:t xml:space="preserve"> </w:t>
      </w:r>
    </w:p>
    <w:p>
      <w:pPr>
        <w:pStyle w:val="6"/>
        <w:spacing w:before="0" w:beforeAutospacing="0" w:after="0" w:afterAutospacing="0"/>
        <w:rPr>
          <w:rFonts w:ascii="Segoe UI" w:hAnsi="Segoe UI" w:cs="Segoe UI"/>
        </w:rPr>
      </w:pPr>
    </w:p>
    <w:p>
      <w:pPr>
        <w:pStyle w:val="6"/>
        <w:numPr>
          <w:ilvl w:val="0"/>
          <w:numId w:val="8"/>
        </w:numPr>
        <w:spacing w:before="0" w:beforeAutospacing="0" w:after="0" w:afterAutospacing="0"/>
        <w:rPr>
          <w:rFonts w:ascii="Segoe UI" w:hAnsi="Segoe UI" w:cs="Segoe UI"/>
        </w:rPr>
      </w:pPr>
      <w:r>
        <w:rPr>
          <w:rFonts w:ascii="Segoe UI" w:hAnsi="Segoe UI" w:cs="Segoe UI"/>
          <w:b/>
        </w:rPr>
        <w:t>Prohibitive costs</w:t>
      </w:r>
      <w:r>
        <w:rPr>
          <w:rFonts w:ascii="Segoe UI" w:hAnsi="Segoe UI" w:cs="Segoe UI"/>
        </w:rPr>
        <w:t>; Affordability of health services and transportation are two main reasons why disabled people do not receive much needed healthcare in low-income countries. Just over half of disabled people are unable to afford healthcare compared to about a third of non-disabled people.</w:t>
      </w:r>
    </w:p>
    <w:p>
      <w:pPr>
        <w:pStyle w:val="6"/>
        <w:numPr>
          <w:ilvl w:val="0"/>
          <w:numId w:val="8"/>
        </w:numPr>
        <w:spacing w:before="0" w:beforeAutospacing="0" w:after="0" w:afterAutospacing="0"/>
        <w:rPr>
          <w:rFonts w:ascii="Segoe UI" w:hAnsi="Segoe UI" w:cs="Segoe UI"/>
        </w:rPr>
      </w:pPr>
      <w:r>
        <w:rPr>
          <w:rFonts w:ascii="Segoe UI" w:hAnsi="Segoe UI" w:cs="Segoe UI"/>
          <w:b/>
        </w:rPr>
        <w:t>Limited availability of services;</w:t>
      </w:r>
      <w:r>
        <w:rPr>
          <w:rFonts w:ascii="Segoe UI" w:hAnsi="Segoe UI" w:cs="Segoe UI"/>
        </w:rPr>
        <w:t xml:space="preserve"> There is a lack of appropriate services for disabled people. Many studies reveal high unmet needs for healthcare among disabled people due to unavailability of services, especially in rural and remote areas.</w:t>
      </w:r>
    </w:p>
    <w:p>
      <w:pPr>
        <w:pStyle w:val="6"/>
        <w:numPr>
          <w:ilvl w:val="0"/>
          <w:numId w:val="8"/>
        </w:numPr>
        <w:spacing w:before="0" w:beforeAutospacing="0" w:after="0" w:afterAutospacing="0"/>
        <w:rPr>
          <w:rFonts w:ascii="Segoe UI" w:hAnsi="Segoe UI" w:cs="Segoe UI"/>
        </w:rPr>
      </w:pPr>
      <w:r>
        <w:rPr>
          <w:rFonts w:ascii="Segoe UI" w:hAnsi="Segoe UI" w:cs="Segoe UI"/>
          <w:b/>
        </w:rPr>
        <w:t>Physical barriers</w:t>
      </w:r>
      <w:r>
        <w:rPr>
          <w:rFonts w:ascii="Segoe UI" w:hAnsi="Segoe UI" w:cs="Segoe UI"/>
        </w:rPr>
        <w:t xml:space="preserve">; Uneven access to buildings (hospitals, health centers), inaccessible medical equipment, poor signage, lack of interpretation, narrow doorways, internal steps, inadequate bathroom facilities, and inaccessible parking areas create barriers to healthcare facilities. </w:t>
      </w:r>
    </w:p>
    <w:p>
      <w:pPr>
        <w:pStyle w:val="6"/>
        <w:numPr>
          <w:ilvl w:val="0"/>
          <w:numId w:val="8"/>
        </w:numPr>
        <w:spacing w:before="0" w:beforeAutospacing="0" w:after="0" w:afterAutospacing="0"/>
        <w:rPr>
          <w:rFonts w:ascii="Segoe UI" w:hAnsi="Segoe UI" w:cs="Segoe UI"/>
        </w:rPr>
      </w:pPr>
      <w:r>
        <w:rPr>
          <w:rFonts w:ascii="Segoe UI" w:hAnsi="Segoe UI" w:cs="Segoe UI"/>
          <w:b/>
        </w:rPr>
        <w:t>Inadequate skills and knowledge of health workers</w:t>
      </w:r>
      <w:r>
        <w:rPr>
          <w:rFonts w:ascii="Segoe UI" w:hAnsi="Segoe UI" w:cs="Segoe UI"/>
        </w:rPr>
        <w:t>; Disabled people were more than twice as likely to report finding healthcare provider skills inadequate to meet their needs, four times more likely to report being treated badly, and nearly three times more likely to report being denied care.</w:t>
      </w:r>
    </w:p>
    <w:p>
      <w:pPr>
        <w:pStyle w:val="6"/>
        <w:numPr>
          <w:ilvl w:val="0"/>
          <w:numId w:val="1"/>
        </w:numPr>
        <w:spacing w:before="0" w:beforeAutospacing="0" w:after="0" w:afterAutospacing="0"/>
        <w:rPr>
          <w:rFonts w:ascii="Segoe UI" w:hAnsi="Segoe UI" w:cs="Segoe UI"/>
          <w:b/>
        </w:rPr>
      </w:pPr>
      <w:r>
        <w:rPr>
          <w:rFonts w:ascii="Segoe UI" w:hAnsi="Segoe UI" w:cs="Segoe UI"/>
          <w:b/>
        </w:rPr>
        <w:t>DENIAL OF ACESS TO HEALTHCARE</w:t>
      </w:r>
    </w:p>
    <w:p>
      <w:pPr>
        <w:pStyle w:val="6"/>
        <w:spacing w:before="0" w:beforeAutospacing="0" w:after="0" w:afterAutospacing="0"/>
        <w:ind w:left="720"/>
        <w:rPr>
          <w:rFonts w:ascii="Segoe UI" w:hAnsi="Segoe UI" w:cs="Segoe UI"/>
        </w:rPr>
      </w:pPr>
    </w:p>
    <w:p>
      <w:pPr>
        <w:pStyle w:val="6"/>
        <w:numPr>
          <w:ilvl w:val="0"/>
          <w:numId w:val="9"/>
        </w:numPr>
        <w:spacing w:before="0" w:beforeAutospacing="0" w:after="0" w:afterAutospacing="0"/>
        <w:rPr>
          <w:rFonts w:ascii="Segoe UI" w:hAnsi="Segoe UI" w:cs="Segoe UI"/>
        </w:rPr>
      </w:pPr>
      <w:r>
        <w:rPr>
          <w:rFonts w:ascii="Segoe UI" w:hAnsi="Segoe UI" w:cs="Segoe UI"/>
        </w:rPr>
        <w:t xml:space="preserve">Guarantee full participation and meaningful involvement of disabled people and their representative organizations at every stage of health policy making. </w:t>
      </w:r>
    </w:p>
    <w:p>
      <w:pPr>
        <w:pStyle w:val="6"/>
        <w:numPr>
          <w:ilvl w:val="0"/>
          <w:numId w:val="10"/>
        </w:numPr>
        <w:spacing w:before="0" w:beforeAutospacing="0" w:after="0" w:afterAutospacing="0"/>
        <w:rPr>
          <w:rFonts w:ascii="Segoe UI" w:hAnsi="Segoe UI" w:cs="Segoe UI"/>
        </w:rPr>
      </w:pPr>
      <w:r>
        <w:rPr>
          <w:rFonts w:ascii="Segoe UI" w:hAnsi="Segoe UI" w:cs="Segoe UI"/>
        </w:rPr>
        <w:t xml:space="preserve">Prevent denial of health information, health care, or health services, on the basis of disability. Provide access to justice for those who have been denied access to healthcare. </w:t>
      </w:r>
    </w:p>
    <w:p>
      <w:pPr>
        <w:pStyle w:val="6"/>
        <w:numPr>
          <w:ilvl w:val="0"/>
          <w:numId w:val="10"/>
        </w:numPr>
        <w:spacing w:before="0" w:beforeAutospacing="0" w:after="0" w:afterAutospacing="0"/>
        <w:rPr>
          <w:rFonts w:ascii="Segoe UI" w:hAnsi="Segoe UI" w:cs="Segoe UI"/>
        </w:rPr>
      </w:pPr>
      <w:r>
        <w:rPr>
          <w:rFonts w:ascii="Segoe UI" w:hAnsi="Segoe UI" w:cs="Segoe UI"/>
        </w:rPr>
        <w:t xml:space="preserve"> Disabled people, including persons living in institutions, enjoy the highest attainable standard of health without discrimination, on the basis of disability. </w:t>
      </w:r>
    </w:p>
    <w:p>
      <w:pPr>
        <w:pStyle w:val="6"/>
        <w:numPr>
          <w:ilvl w:val="0"/>
          <w:numId w:val="10"/>
        </w:numPr>
        <w:spacing w:before="0" w:beforeAutospacing="0" w:after="0" w:afterAutospacing="0"/>
        <w:rPr>
          <w:rFonts w:ascii="Segoe UI" w:hAnsi="Segoe UI" w:cs="Segoe UI"/>
        </w:rPr>
      </w:pPr>
      <w:r>
        <w:rPr>
          <w:rFonts w:ascii="Segoe UI" w:hAnsi="Segoe UI" w:cs="Segoe UI"/>
        </w:rPr>
        <w:t xml:space="preserve">Require health professionals to provide healthcare and health information to disabled people on an equal basis with other citizens, including persons in institutions. </w:t>
      </w:r>
    </w:p>
    <w:p>
      <w:pPr>
        <w:pStyle w:val="6"/>
        <w:numPr>
          <w:ilvl w:val="0"/>
          <w:numId w:val="10"/>
        </w:numPr>
        <w:spacing w:before="0" w:beforeAutospacing="0" w:after="0" w:afterAutospacing="0"/>
        <w:rPr>
          <w:rFonts w:ascii="Segoe UI" w:hAnsi="Segoe UI" w:cs="Segoe UI"/>
        </w:rPr>
      </w:pPr>
      <w:r>
        <w:rPr>
          <w:rFonts w:ascii="Segoe UI" w:hAnsi="Segoe UI" w:cs="Segoe UI"/>
        </w:rPr>
        <w:t>Raise awareness of disability rights among health professionals, including the right to access information and give free and informed consent to medical treatment.</w:t>
      </w:r>
    </w:p>
    <w:p>
      <w:pPr>
        <w:pStyle w:val="6"/>
        <w:numPr>
          <w:ilvl w:val="0"/>
          <w:numId w:val="10"/>
        </w:numPr>
        <w:spacing w:before="0" w:beforeAutospacing="0" w:after="0" w:afterAutospacing="0"/>
        <w:rPr>
          <w:rFonts w:ascii="Segoe UI" w:hAnsi="Segoe UI" w:cs="Segoe UI"/>
        </w:rPr>
      </w:pPr>
      <w:r>
        <w:rPr>
          <w:rFonts w:ascii="Segoe UI" w:hAnsi="Segoe UI" w:cs="Segoe UI"/>
        </w:rPr>
        <w:t xml:space="preserve"> Ensure access to specialized health services including rehabilitation.</w:t>
      </w:r>
    </w:p>
    <w:p>
      <w:pPr>
        <w:pStyle w:val="6"/>
        <w:numPr>
          <w:ilvl w:val="0"/>
          <w:numId w:val="10"/>
        </w:numPr>
        <w:spacing w:before="0" w:beforeAutospacing="0" w:after="0" w:afterAutospacing="0"/>
        <w:rPr>
          <w:rFonts w:ascii="Segoe UI" w:hAnsi="Segoe UI" w:cs="Segoe UI"/>
        </w:rPr>
      </w:pPr>
      <w:r>
        <w:rPr>
          <w:rFonts w:ascii="Segoe UI" w:hAnsi="Segoe UI" w:cs="Segoe UI"/>
        </w:rPr>
        <w:t xml:space="preserve"> Guarantee free or affordable healthcare, food and medicine, and prohibit discrimination against disabled people in the provision of health insurance. </w:t>
      </w:r>
    </w:p>
    <w:p>
      <w:pPr>
        <w:pStyle w:val="6"/>
        <w:numPr>
          <w:ilvl w:val="0"/>
          <w:numId w:val="10"/>
        </w:numPr>
        <w:spacing w:before="0" w:beforeAutospacing="0" w:after="0" w:afterAutospacing="0"/>
        <w:rPr>
          <w:rFonts w:ascii="Segoe UI" w:hAnsi="Segoe UI" w:cs="Segoe UI"/>
        </w:rPr>
      </w:pPr>
      <w:r>
        <w:rPr>
          <w:rFonts w:ascii="Segoe UI" w:hAnsi="Segoe UI" w:cs="Segoe UI"/>
        </w:rPr>
        <w:t xml:space="preserve">Provide health information and services as close as possible to people’s own communities, including in remote and rural areas. </w:t>
      </w:r>
    </w:p>
    <w:p>
      <w:pPr>
        <w:pStyle w:val="6"/>
        <w:numPr>
          <w:ilvl w:val="0"/>
          <w:numId w:val="10"/>
        </w:numPr>
        <w:spacing w:before="0" w:beforeAutospacing="0" w:after="0" w:afterAutospacing="0"/>
        <w:rPr>
          <w:rFonts w:ascii="Segoe UI" w:hAnsi="Segoe UI" w:cs="Segoe UI"/>
        </w:rPr>
      </w:pPr>
      <w:r>
        <w:rPr>
          <w:rFonts w:ascii="Segoe UI" w:hAnsi="Segoe UI" w:cs="Segoe UI"/>
        </w:rPr>
        <w:t xml:space="preserve">Ensure that health information and services are age- and gender-sensitive. </w:t>
      </w:r>
    </w:p>
    <w:p>
      <w:pPr>
        <w:pStyle w:val="6"/>
        <w:numPr>
          <w:ilvl w:val="0"/>
          <w:numId w:val="10"/>
        </w:numPr>
        <w:spacing w:before="0" w:beforeAutospacing="0" w:after="0" w:afterAutospacing="0"/>
        <w:rPr>
          <w:rFonts w:ascii="Segoe UI" w:hAnsi="Segoe UI" w:cs="Segoe UI"/>
        </w:rPr>
      </w:pPr>
      <w:r>
        <w:rPr>
          <w:rFonts w:ascii="Segoe UI" w:hAnsi="Segoe UI" w:cs="Segoe UI"/>
        </w:rPr>
        <w:t xml:space="preserve"> Provide information about healthcare in multiple, accessible formats.</w:t>
      </w:r>
    </w:p>
    <w:p>
      <w:pPr>
        <w:pStyle w:val="6"/>
        <w:numPr>
          <w:ilvl w:val="0"/>
          <w:numId w:val="10"/>
        </w:numPr>
        <w:spacing w:after="0"/>
        <w:rPr>
          <w:rFonts w:ascii="Segoe UI" w:hAnsi="Segoe UI" w:cs="Segoe UI"/>
        </w:rPr>
      </w:pPr>
      <w:r>
        <w:rPr>
          <w:rFonts w:ascii="Segoe UI" w:hAnsi="Segoe UI" w:cs="Segoe UI"/>
        </w:rPr>
        <w:t>Prohibit discrimination against persons with disabilities in the provision of health insurance, and life insurance where such insurance is permitted by national law, which shall be provided in a fair and reasonable manner;</w:t>
      </w:r>
    </w:p>
    <w:p>
      <w:pPr>
        <w:pStyle w:val="6"/>
        <w:numPr>
          <w:ilvl w:val="0"/>
          <w:numId w:val="10"/>
        </w:numPr>
        <w:spacing w:before="0" w:beforeAutospacing="0" w:after="0" w:afterAutospacing="0"/>
        <w:rPr>
          <w:rFonts w:ascii="Segoe UI" w:hAnsi="Segoe UI" w:cs="Segoe UI"/>
        </w:rPr>
      </w:pPr>
      <w:r>
        <w:rPr>
          <w:rFonts w:ascii="Segoe UI" w:hAnsi="Segoe UI" w:cs="Segoe UI"/>
        </w:rPr>
        <w:t>Prevent discriminatory denial of health care or health services or food and fluids on the basis of disability</w:t>
      </w:r>
    </w:p>
    <w:p>
      <w:pPr>
        <w:pStyle w:val="6"/>
        <w:spacing w:before="0" w:beforeAutospacing="0" w:after="0" w:afterAutospacing="0"/>
        <w:rPr>
          <w:rFonts w:ascii="Segoe UI" w:hAnsi="Segoe UI" w:cs="Segoe UI"/>
        </w:rPr>
      </w:pPr>
    </w:p>
    <w:p>
      <w:pPr>
        <w:pStyle w:val="6"/>
        <w:numPr>
          <w:ilvl w:val="0"/>
          <w:numId w:val="1"/>
        </w:numPr>
        <w:spacing w:before="0" w:beforeAutospacing="0" w:after="0" w:afterAutospacing="0"/>
        <w:rPr>
          <w:rFonts w:ascii="Segoe UI" w:hAnsi="Segoe UI" w:cs="Segoe UI"/>
          <w:b/>
        </w:rPr>
      </w:pPr>
      <w:r>
        <w:rPr>
          <w:rFonts w:ascii="Segoe UI" w:hAnsi="Segoe UI" w:cs="Segoe UI"/>
          <w:b/>
        </w:rPr>
        <w:t>OUR CALL AS CDPF</w:t>
      </w:r>
    </w:p>
    <w:p>
      <w:pPr>
        <w:pStyle w:val="6"/>
        <w:spacing w:before="0" w:beforeAutospacing="0" w:after="0" w:afterAutospacing="0"/>
        <w:ind w:left="1440"/>
        <w:rPr>
          <w:rFonts w:ascii="Segoe UI" w:hAnsi="Segoe UI" w:cs="Segoe UI"/>
        </w:rPr>
      </w:pPr>
    </w:p>
    <w:p>
      <w:pPr>
        <w:pStyle w:val="6"/>
        <w:numPr>
          <w:ilvl w:val="0"/>
          <w:numId w:val="11"/>
        </w:numPr>
        <w:spacing w:before="0" w:beforeAutospacing="0" w:after="0" w:afterAutospacing="0"/>
        <w:rPr>
          <w:rFonts w:ascii="Segoe UI" w:hAnsi="Segoe UI" w:cs="Segoe UI"/>
        </w:rPr>
      </w:pPr>
      <w:r>
        <w:rPr>
          <w:rFonts w:ascii="Segoe UI" w:hAnsi="Segoe UI" w:cs="Segoe UI"/>
        </w:rPr>
        <w:t>We need as CDPF and DPOs to hold our governments to account to provide universal health that is inclusive and responsive to issues of disabled people taking cognizance of their different types of impairments.</w:t>
      </w:r>
    </w:p>
    <w:p>
      <w:pPr>
        <w:pStyle w:val="6"/>
        <w:numPr>
          <w:ilvl w:val="0"/>
          <w:numId w:val="11"/>
        </w:numPr>
        <w:spacing w:before="0" w:beforeAutospacing="0" w:after="0" w:afterAutospacing="0"/>
        <w:rPr>
          <w:rFonts w:ascii="Segoe UI" w:hAnsi="Segoe UI" w:cs="Segoe UI"/>
        </w:rPr>
      </w:pPr>
      <w:r>
        <w:rPr>
          <w:rFonts w:ascii="Segoe UI" w:hAnsi="Segoe UI" w:cs="Segoe UI"/>
        </w:rPr>
        <w:t xml:space="preserve">The CDPF also calls on governments to take the following longer-term steps to avoid future human rights emergencies: </w:t>
      </w:r>
    </w:p>
    <w:p>
      <w:pPr>
        <w:pStyle w:val="6"/>
        <w:numPr>
          <w:ilvl w:val="0"/>
          <w:numId w:val="12"/>
        </w:numPr>
        <w:spacing w:before="0" w:beforeAutospacing="0" w:after="0" w:afterAutospacing="0"/>
        <w:rPr>
          <w:rFonts w:ascii="Segoe UI" w:hAnsi="Segoe UI" w:cs="Segoe UI"/>
        </w:rPr>
      </w:pPr>
      <w:r>
        <w:rPr>
          <w:rFonts w:ascii="Segoe UI" w:hAnsi="Segoe UI" w:cs="Segoe UI"/>
        </w:rPr>
        <w:t xml:space="preserve">Actively involve disabled people and their representative organizations, and civil society, in planning the recovery process and emergency deinstitutionalization plans. </w:t>
      </w:r>
    </w:p>
    <w:p>
      <w:pPr>
        <w:pStyle w:val="6"/>
        <w:numPr>
          <w:ilvl w:val="0"/>
          <w:numId w:val="12"/>
        </w:numPr>
        <w:spacing w:before="0" w:beforeAutospacing="0" w:after="0" w:afterAutospacing="0"/>
        <w:rPr>
          <w:rFonts w:ascii="Segoe UI" w:hAnsi="Segoe UI" w:cs="Segoe UI"/>
        </w:rPr>
      </w:pPr>
      <w:r>
        <w:rPr>
          <w:rFonts w:ascii="Segoe UI" w:hAnsi="Segoe UI" w:cs="Segoe UI"/>
        </w:rPr>
        <w:t xml:space="preserve">Allocate adequate financial and human resources to support the transition from institutions to the community, in line with Article 19 of the CRPD. </w:t>
      </w:r>
    </w:p>
    <w:p>
      <w:pPr>
        <w:pStyle w:val="6"/>
        <w:numPr>
          <w:ilvl w:val="0"/>
          <w:numId w:val="12"/>
        </w:numPr>
        <w:spacing w:before="0" w:beforeAutospacing="0" w:after="0" w:afterAutospacing="0"/>
        <w:rPr>
          <w:rFonts w:ascii="Segoe UI" w:hAnsi="Segoe UI" w:cs="Segoe UI"/>
        </w:rPr>
      </w:pPr>
      <w:r>
        <w:rPr>
          <w:rFonts w:ascii="Segoe UI" w:hAnsi="Segoe UI" w:cs="Segoe UI"/>
        </w:rPr>
        <w:t xml:space="preserve"> Debt Cancellation in Low and Middle Income Countries</w:t>
      </w:r>
    </w:p>
    <w:p>
      <w:pPr>
        <w:pStyle w:val="6"/>
        <w:numPr>
          <w:ilvl w:val="0"/>
          <w:numId w:val="12"/>
        </w:numPr>
        <w:spacing w:before="0" w:beforeAutospacing="0" w:after="0" w:afterAutospacing="0"/>
        <w:rPr>
          <w:rFonts w:ascii="Segoe UI" w:hAnsi="Segoe UI" w:cs="Segoe UI"/>
        </w:rPr>
      </w:pPr>
      <w:r>
        <w:rPr>
          <w:rFonts w:ascii="Segoe UI" w:hAnsi="Segoe UI" w:cs="Segoe UI"/>
        </w:rPr>
        <w:t xml:space="preserve"> Ensure resources and vaccines are shared top the maximum for global use through COVAX</w:t>
      </w:r>
    </w:p>
    <w:p>
      <w:pPr>
        <w:pStyle w:val="6"/>
        <w:numPr>
          <w:ilvl w:val="0"/>
          <w:numId w:val="12"/>
        </w:numPr>
        <w:spacing w:before="0" w:beforeAutospacing="0" w:after="0" w:afterAutospacing="0"/>
        <w:rPr>
          <w:rFonts w:ascii="Segoe UI" w:hAnsi="Segoe UI" w:cs="Segoe UI"/>
        </w:rPr>
      </w:pPr>
      <w:r>
        <w:rPr>
          <w:rFonts w:ascii="Segoe UI" w:hAnsi="Segoe UI" w:cs="Segoe UI"/>
        </w:rPr>
        <w:t>Learn the lessons of Global Collaboration in implementing SDs by 2030</w:t>
      </w:r>
    </w:p>
    <w:p>
      <w:pPr>
        <w:pStyle w:val="6"/>
        <w:spacing w:before="0" w:beforeAutospacing="0" w:after="0" w:afterAutospacing="0"/>
        <w:ind w:left="360"/>
        <w:rPr>
          <w:rFonts w:ascii="Segoe UI" w:hAnsi="Segoe UI" w:cs="Segoe UI"/>
        </w:rPr>
      </w:pPr>
    </w:p>
    <w:p>
      <w:pPr>
        <w:pStyle w:val="6"/>
        <w:spacing w:before="0" w:beforeAutospacing="0" w:after="0" w:afterAutospacing="0"/>
        <w:rPr>
          <w:rFonts w:ascii="Segoe UI" w:hAnsi="Segoe UI" w:cs="Segoe UI"/>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E4319"/>
    <w:multiLevelType w:val="multilevel"/>
    <w:tmpl w:val="02CE43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4C17231"/>
    <w:multiLevelType w:val="multilevel"/>
    <w:tmpl w:val="14C1723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17AD0C7E"/>
    <w:multiLevelType w:val="multilevel"/>
    <w:tmpl w:val="17AD0C7E"/>
    <w:lvl w:ilvl="0" w:tentative="0">
      <w:start w:val="6"/>
      <w:numFmt w:val="bullet"/>
      <w:lvlText w:val="-"/>
      <w:lvlJc w:val="left"/>
      <w:pPr>
        <w:ind w:left="720" w:hanging="360"/>
      </w:pPr>
      <w:rPr>
        <w:rFonts w:hint="default" w:ascii="Segoe UI" w:hAnsi="Segoe UI" w:eastAsia="Times New Roman" w:cs="Segoe U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8DD6AA3"/>
    <w:multiLevelType w:val="multilevel"/>
    <w:tmpl w:val="28DD6AA3"/>
    <w:lvl w:ilvl="0" w:tentative="0">
      <w:start w:val="1"/>
      <w:numFmt w:val="bullet"/>
      <w:lvlText w:val=""/>
      <w:lvlJc w:val="left"/>
      <w:pPr>
        <w:ind w:left="1632" w:hanging="360"/>
      </w:pPr>
      <w:rPr>
        <w:rFonts w:hint="default" w:ascii="Symbol" w:hAnsi="Symbol"/>
      </w:rPr>
    </w:lvl>
    <w:lvl w:ilvl="1" w:tentative="0">
      <w:start w:val="1"/>
      <w:numFmt w:val="bullet"/>
      <w:lvlText w:val="o"/>
      <w:lvlJc w:val="left"/>
      <w:pPr>
        <w:ind w:left="2352" w:hanging="360"/>
      </w:pPr>
      <w:rPr>
        <w:rFonts w:hint="default" w:ascii="Courier New" w:hAnsi="Courier New" w:cs="Courier New"/>
      </w:rPr>
    </w:lvl>
    <w:lvl w:ilvl="2" w:tentative="0">
      <w:start w:val="1"/>
      <w:numFmt w:val="bullet"/>
      <w:lvlText w:val=""/>
      <w:lvlJc w:val="left"/>
      <w:pPr>
        <w:ind w:left="3072" w:hanging="360"/>
      </w:pPr>
      <w:rPr>
        <w:rFonts w:hint="default" w:ascii="Wingdings" w:hAnsi="Wingdings"/>
      </w:rPr>
    </w:lvl>
    <w:lvl w:ilvl="3" w:tentative="0">
      <w:start w:val="1"/>
      <w:numFmt w:val="bullet"/>
      <w:lvlText w:val=""/>
      <w:lvlJc w:val="left"/>
      <w:pPr>
        <w:ind w:left="3792" w:hanging="360"/>
      </w:pPr>
      <w:rPr>
        <w:rFonts w:hint="default" w:ascii="Symbol" w:hAnsi="Symbol"/>
      </w:rPr>
    </w:lvl>
    <w:lvl w:ilvl="4" w:tentative="0">
      <w:start w:val="1"/>
      <w:numFmt w:val="bullet"/>
      <w:lvlText w:val="o"/>
      <w:lvlJc w:val="left"/>
      <w:pPr>
        <w:ind w:left="4512" w:hanging="360"/>
      </w:pPr>
      <w:rPr>
        <w:rFonts w:hint="default" w:ascii="Courier New" w:hAnsi="Courier New" w:cs="Courier New"/>
      </w:rPr>
    </w:lvl>
    <w:lvl w:ilvl="5" w:tentative="0">
      <w:start w:val="1"/>
      <w:numFmt w:val="bullet"/>
      <w:lvlText w:val=""/>
      <w:lvlJc w:val="left"/>
      <w:pPr>
        <w:ind w:left="5232" w:hanging="360"/>
      </w:pPr>
      <w:rPr>
        <w:rFonts w:hint="default" w:ascii="Wingdings" w:hAnsi="Wingdings"/>
      </w:rPr>
    </w:lvl>
    <w:lvl w:ilvl="6" w:tentative="0">
      <w:start w:val="1"/>
      <w:numFmt w:val="bullet"/>
      <w:lvlText w:val=""/>
      <w:lvlJc w:val="left"/>
      <w:pPr>
        <w:ind w:left="5952" w:hanging="360"/>
      </w:pPr>
      <w:rPr>
        <w:rFonts w:hint="default" w:ascii="Symbol" w:hAnsi="Symbol"/>
      </w:rPr>
    </w:lvl>
    <w:lvl w:ilvl="7" w:tentative="0">
      <w:start w:val="1"/>
      <w:numFmt w:val="bullet"/>
      <w:lvlText w:val="o"/>
      <w:lvlJc w:val="left"/>
      <w:pPr>
        <w:ind w:left="6672" w:hanging="360"/>
      </w:pPr>
      <w:rPr>
        <w:rFonts w:hint="default" w:ascii="Courier New" w:hAnsi="Courier New" w:cs="Courier New"/>
      </w:rPr>
    </w:lvl>
    <w:lvl w:ilvl="8" w:tentative="0">
      <w:start w:val="1"/>
      <w:numFmt w:val="bullet"/>
      <w:lvlText w:val=""/>
      <w:lvlJc w:val="left"/>
      <w:pPr>
        <w:ind w:left="7392" w:hanging="360"/>
      </w:pPr>
      <w:rPr>
        <w:rFonts w:hint="default" w:ascii="Wingdings" w:hAnsi="Wingdings"/>
      </w:rPr>
    </w:lvl>
  </w:abstractNum>
  <w:abstractNum w:abstractNumId="4">
    <w:nsid w:val="35A52790"/>
    <w:multiLevelType w:val="multilevel"/>
    <w:tmpl w:val="35A52790"/>
    <w:lvl w:ilvl="0" w:tentative="0">
      <w:start w:val="6"/>
      <w:numFmt w:val="bullet"/>
      <w:lvlText w:val="-"/>
      <w:lvlJc w:val="left"/>
      <w:pPr>
        <w:ind w:left="1800" w:hanging="360"/>
      </w:pPr>
      <w:rPr>
        <w:rFonts w:hint="default" w:ascii="Segoe UI" w:hAnsi="Segoe UI" w:eastAsia="Times New Roman" w:cs="Segoe UI"/>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5">
    <w:nsid w:val="3DE779BB"/>
    <w:multiLevelType w:val="multilevel"/>
    <w:tmpl w:val="3DE779BB"/>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E652D29"/>
    <w:multiLevelType w:val="multilevel"/>
    <w:tmpl w:val="4E652D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4C37964"/>
    <w:multiLevelType w:val="multilevel"/>
    <w:tmpl w:val="54C37964"/>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8">
    <w:nsid w:val="58B326D7"/>
    <w:multiLevelType w:val="multilevel"/>
    <w:tmpl w:val="58B326D7"/>
    <w:lvl w:ilvl="0" w:tentative="0">
      <w:start w:val="1"/>
      <w:numFmt w:val="upperRoman"/>
      <w:lvlText w:val="%1."/>
      <w:lvlJc w:val="right"/>
      <w:pPr>
        <w:ind w:left="1572" w:hanging="360"/>
      </w:pPr>
    </w:lvl>
    <w:lvl w:ilvl="1" w:tentative="0">
      <w:start w:val="1"/>
      <w:numFmt w:val="lowerLetter"/>
      <w:lvlText w:val="%2."/>
      <w:lvlJc w:val="left"/>
      <w:pPr>
        <w:ind w:left="2292" w:hanging="360"/>
      </w:pPr>
    </w:lvl>
    <w:lvl w:ilvl="2" w:tentative="0">
      <w:start w:val="1"/>
      <w:numFmt w:val="lowerRoman"/>
      <w:lvlText w:val="%3."/>
      <w:lvlJc w:val="right"/>
      <w:pPr>
        <w:ind w:left="3012" w:hanging="180"/>
      </w:pPr>
    </w:lvl>
    <w:lvl w:ilvl="3" w:tentative="0">
      <w:start w:val="1"/>
      <w:numFmt w:val="decimal"/>
      <w:lvlText w:val="%4."/>
      <w:lvlJc w:val="left"/>
      <w:pPr>
        <w:ind w:left="3732" w:hanging="360"/>
      </w:pPr>
    </w:lvl>
    <w:lvl w:ilvl="4" w:tentative="0">
      <w:start w:val="1"/>
      <w:numFmt w:val="lowerLetter"/>
      <w:lvlText w:val="%5."/>
      <w:lvlJc w:val="left"/>
      <w:pPr>
        <w:ind w:left="4452" w:hanging="360"/>
      </w:pPr>
    </w:lvl>
    <w:lvl w:ilvl="5" w:tentative="0">
      <w:start w:val="1"/>
      <w:numFmt w:val="lowerRoman"/>
      <w:lvlText w:val="%6."/>
      <w:lvlJc w:val="right"/>
      <w:pPr>
        <w:ind w:left="5172" w:hanging="180"/>
      </w:pPr>
    </w:lvl>
    <w:lvl w:ilvl="6" w:tentative="0">
      <w:start w:val="1"/>
      <w:numFmt w:val="decimal"/>
      <w:lvlText w:val="%7."/>
      <w:lvlJc w:val="left"/>
      <w:pPr>
        <w:ind w:left="5892" w:hanging="360"/>
      </w:pPr>
    </w:lvl>
    <w:lvl w:ilvl="7" w:tentative="0">
      <w:start w:val="1"/>
      <w:numFmt w:val="lowerLetter"/>
      <w:lvlText w:val="%8."/>
      <w:lvlJc w:val="left"/>
      <w:pPr>
        <w:ind w:left="6612" w:hanging="360"/>
      </w:pPr>
    </w:lvl>
    <w:lvl w:ilvl="8" w:tentative="0">
      <w:start w:val="1"/>
      <w:numFmt w:val="lowerRoman"/>
      <w:lvlText w:val="%9."/>
      <w:lvlJc w:val="right"/>
      <w:pPr>
        <w:ind w:left="7332" w:hanging="180"/>
      </w:pPr>
    </w:lvl>
  </w:abstractNum>
  <w:abstractNum w:abstractNumId="9">
    <w:nsid w:val="5F5A48DD"/>
    <w:multiLevelType w:val="multilevel"/>
    <w:tmpl w:val="5F5A48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7A8344B"/>
    <w:multiLevelType w:val="multilevel"/>
    <w:tmpl w:val="77A834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FA358AF"/>
    <w:multiLevelType w:val="multilevel"/>
    <w:tmpl w:val="7FA358AF"/>
    <w:lvl w:ilvl="0" w:tentative="0">
      <w:start w:val="1"/>
      <w:numFmt w:val="upperRoman"/>
      <w:lvlText w:val="%1."/>
      <w:lvlJc w:val="right"/>
      <w:pPr>
        <w:ind w:left="1572" w:hanging="360"/>
      </w:pPr>
    </w:lvl>
    <w:lvl w:ilvl="1" w:tentative="0">
      <w:start w:val="1"/>
      <w:numFmt w:val="lowerLetter"/>
      <w:lvlText w:val="%2."/>
      <w:lvlJc w:val="left"/>
      <w:pPr>
        <w:ind w:left="2292" w:hanging="360"/>
      </w:pPr>
    </w:lvl>
    <w:lvl w:ilvl="2" w:tentative="0">
      <w:start w:val="1"/>
      <w:numFmt w:val="lowerRoman"/>
      <w:lvlText w:val="%3."/>
      <w:lvlJc w:val="right"/>
      <w:pPr>
        <w:ind w:left="3012" w:hanging="180"/>
      </w:pPr>
    </w:lvl>
    <w:lvl w:ilvl="3" w:tentative="0">
      <w:start w:val="1"/>
      <w:numFmt w:val="decimal"/>
      <w:lvlText w:val="%4."/>
      <w:lvlJc w:val="left"/>
      <w:pPr>
        <w:ind w:left="3732" w:hanging="360"/>
      </w:pPr>
    </w:lvl>
    <w:lvl w:ilvl="4" w:tentative="0">
      <w:start w:val="1"/>
      <w:numFmt w:val="lowerLetter"/>
      <w:lvlText w:val="%5."/>
      <w:lvlJc w:val="left"/>
      <w:pPr>
        <w:ind w:left="4452" w:hanging="360"/>
      </w:pPr>
    </w:lvl>
    <w:lvl w:ilvl="5" w:tentative="0">
      <w:start w:val="1"/>
      <w:numFmt w:val="lowerRoman"/>
      <w:lvlText w:val="%6."/>
      <w:lvlJc w:val="right"/>
      <w:pPr>
        <w:ind w:left="5172" w:hanging="180"/>
      </w:pPr>
    </w:lvl>
    <w:lvl w:ilvl="6" w:tentative="0">
      <w:start w:val="1"/>
      <w:numFmt w:val="decimal"/>
      <w:lvlText w:val="%7."/>
      <w:lvlJc w:val="left"/>
      <w:pPr>
        <w:ind w:left="5892" w:hanging="360"/>
      </w:pPr>
    </w:lvl>
    <w:lvl w:ilvl="7" w:tentative="0">
      <w:start w:val="1"/>
      <w:numFmt w:val="lowerLetter"/>
      <w:lvlText w:val="%8."/>
      <w:lvlJc w:val="left"/>
      <w:pPr>
        <w:ind w:left="6612" w:hanging="360"/>
      </w:pPr>
    </w:lvl>
    <w:lvl w:ilvl="8" w:tentative="0">
      <w:start w:val="1"/>
      <w:numFmt w:val="lowerRoman"/>
      <w:lvlText w:val="%9."/>
      <w:lvlJc w:val="right"/>
      <w:pPr>
        <w:ind w:left="7332" w:hanging="180"/>
      </w:pPr>
    </w:lvl>
  </w:abstractNum>
  <w:num w:numId="1">
    <w:abstractNumId w:val="5"/>
  </w:num>
  <w:num w:numId="2">
    <w:abstractNumId w:val="11"/>
  </w:num>
  <w:num w:numId="3">
    <w:abstractNumId w:val="1"/>
  </w:num>
  <w:num w:numId="4">
    <w:abstractNumId w:val="3"/>
  </w:num>
  <w:num w:numId="5">
    <w:abstractNumId w:val="2"/>
  </w:num>
  <w:num w:numId="6">
    <w:abstractNumId w:val="8"/>
  </w:num>
  <w:num w:numId="7">
    <w:abstractNumId w:val="9"/>
  </w:num>
  <w:num w:numId="8">
    <w:abstractNumId w:val="0"/>
  </w:num>
  <w:num w:numId="9">
    <w:abstractNumId w:val="6"/>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22"/>
    <w:rsid w:val="000A7FE0"/>
    <w:rsid w:val="000C6241"/>
    <w:rsid w:val="00101F22"/>
    <w:rsid w:val="002D14A5"/>
    <w:rsid w:val="003F6FE6"/>
    <w:rsid w:val="004E2ECD"/>
    <w:rsid w:val="0052430D"/>
    <w:rsid w:val="005B202B"/>
    <w:rsid w:val="00612872"/>
    <w:rsid w:val="006323F7"/>
    <w:rsid w:val="00640369"/>
    <w:rsid w:val="007B5E04"/>
    <w:rsid w:val="00971EED"/>
    <w:rsid w:val="0097757C"/>
    <w:rsid w:val="00A226B2"/>
    <w:rsid w:val="00A229EF"/>
    <w:rsid w:val="00BE066E"/>
    <w:rsid w:val="00C41F0A"/>
    <w:rsid w:val="00CF5615"/>
    <w:rsid w:val="06D76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954F72" w:themeColor="followedHyperlink"/>
      <w:u w:val="single"/>
      <w14:textFill>
        <w14:solidFill>
          <w14:schemeClr w14:val="folHlink"/>
        </w14:solidFill>
      </w14:textFill>
    </w:rPr>
  </w:style>
  <w:style w:type="character" w:styleId="5">
    <w:name w:val="Hyperlink"/>
    <w:basedOn w:val="2"/>
    <w:unhideWhenUsed/>
    <w:uiPriority w:val="99"/>
    <w:rPr>
      <w:color w:val="0563C1" w:themeColor="hyperlink"/>
      <w:u w:val="single"/>
      <w14:textFill>
        <w14:solidFill>
          <w14:schemeClr w14:val="hlink"/>
        </w14:solidFill>
      </w14:textFill>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1783</Words>
  <Characters>10166</Characters>
  <Lines>84</Lines>
  <Paragraphs>23</Paragraphs>
  <TotalTime>117</TotalTime>
  <ScaleCrop>false</ScaleCrop>
  <LinksUpToDate>false</LinksUpToDate>
  <CharactersWithSpaces>11926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2023-08-23T06:16:00Z</dcterms:created>
  <dc:creator>Scader Louis</dc:creator>
  <cp:lastModifiedBy>Richard</cp:lastModifiedBy>
  <dcterms:modified xsi:type="dcterms:W3CDTF">2023-08-23T08:41:39Z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6B689CE42C29478A8B8E90E7C2F61A41</vt:lpwstr>
  </property>
</Properties>
</file>