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2487B" w14:textId="2ADF5126" w:rsidR="00DF3DE1" w:rsidRPr="00DF3DE1" w:rsidRDefault="00DF3DE1" w:rsidP="00DF3DE1">
      <w:pPr>
        <w:pStyle w:val="NormalWeb"/>
        <w:spacing w:before="200" w:beforeAutospacing="0" w:after="0" w:afterAutospacing="0" w:line="216" w:lineRule="auto"/>
        <w:rPr>
          <w:rFonts w:asciiTheme="minorHAnsi" w:eastAsiaTheme="minorEastAsia" w:hAnsiTheme="minorHAnsi" w:cstheme="minorHAnsi"/>
          <w:b/>
          <w:bCs/>
          <w:color w:val="000000"/>
          <w:kern w:val="24"/>
          <w:position w:val="1"/>
          <w:sz w:val="28"/>
          <w:szCs w:val="28"/>
        </w:rPr>
      </w:pPr>
      <w:r w:rsidRPr="00DF3DE1">
        <w:rPr>
          <w:rFonts w:asciiTheme="minorHAnsi" w:eastAsiaTheme="minorEastAsia" w:hAnsiTheme="minorHAnsi" w:cstheme="minorHAnsi"/>
          <w:b/>
          <w:bCs/>
          <w:color w:val="000000"/>
          <w:kern w:val="24"/>
          <w:position w:val="1"/>
          <w:sz w:val="28"/>
          <w:szCs w:val="28"/>
        </w:rPr>
        <w:t>Covid-19 and Disability Rights : Where Now ?</w:t>
      </w:r>
    </w:p>
    <w:p w14:paraId="5438F246" w14:textId="59294E1B" w:rsidR="00DF3DE1" w:rsidRDefault="00DF3DE1" w:rsidP="00DF3DE1">
      <w:pPr>
        <w:pStyle w:val="NormalWeb"/>
        <w:spacing w:before="200" w:beforeAutospacing="0" w:after="0" w:afterAutospacing="0" w:line="216" w:lineRule="auto"/>
        <w:rPr>
          <w:rFonts w:asciiTheme="minorHAnsi" w:eastAsiaTheme="minorEastAsia" w:hAnsiTheme="minorHAnsi" w:cstheme="minorHAnsi"/>
          <w:b/>
          <w:bCs/>
          <w:color w:val="000000"/>
          <w:kern w:val="24"/>
          <w:position w:val="1"/>
          <w:sz w:val="28"/>
          <w:szCs w:val="28"/>
        </w:rPr>
      </w:pPr>
      <w:r w:rsidRPr="00DF3DE1">
        <w:rPr>
          <w:rFonts w:asciiTheme="minorHAnsi" w:eastAsiaTheme="minorEastAsia" w:hAnsiTheme="minorHAnsi" w:cstheme="minorHAnsi"/>
          <w:b/>
          <w:bCs/>
          <w:color w:val="000000"/>
          <w:kern w:val="24"/>
          <w:position w:val="1"/>
          <w:sz w:val="28"/>
          <w:szCs w:val="28"/>
        </w:rPr>
        <w:t>Richard Rieser</w:t>
      </w:r>
      <w:r w:rsidR="00656525">
        <w:rPr>
          <w:rFonts w:asciiTheme="minorHAnsi" w:eastAsiaTheme="minorEastAsia" w:hAnsiTheme="minorHAnsi" w:cstheme="minorHAnsi"/>
          <w:b/>
          <w:bCs/>
          <w:color w:val="000000"/>
          <w:kern w:val="24"/>
          <w:position w:val="1"/>
          <w:sz w:val="28"/>
          <w:szCs w:val="28"/>
        </w:rPr>
        <w:t>,</w:t>
      </w:r>
      <w:r w:rsidRPr="00DF3DE1">
        <w:rPr>
          <w:rFonts w:asciiTheme="minorHAnsi" w:eastAsiaTheme="minorEastAsia" w:hAnsiTheme="minorHAnsi" w:cstheme="minorHAnsi"/>
          <w:b/>
          <w:bCs/>
          <w:color w:val="000000"/>
          <w:kern w:val="24"/>
          <w:position w:val="1"/>
          <w:sz w:val="28"/>
          <w:szCs w:val="28"/>
        </w:rPr>
        <w:t xml:space="preserve"> General Secretary Commonwealth Disabled People’s Forum</w:t>
      </w:r>
    </w:p>
    <w:p w14:paraId="07671B53" w14:textId="00E4A44F" w:rsidR="00656525" w:rsidRPr="00DF3DE1" w:rsidRDefault="00656525" w:rsidP="00DF3DE1">
      <w:pPr>
        <w:pStyle w:val="NormalWeb"/>
        <w:spacing w:before="200" w:beforeAutospacing="0" w:after="0" w:afterAutospacing="0" w:line="216" w:lineRule="auto"/>
        <w:rPr>
          <w:rFonts w:asciiTheme="minorHAnsi" w:eastAsiaTheme="minorEastAsia" w:hAnsiTheme="minorHAnsi" w:cstheme="minorHAnsi"/>
          <w:b/>
          <w:bCs/>
          <w:color w:val="000000"/>
          <w:kern w:val="24"/>
          <w:position w:val="1"/>
          <w:sz w:val="28"/>
          <w:szCs w:val="28"/>
        </w:rPr>
      </w:pPr>
      <w:r>
        <w:rPr>
          <w:rFonts w:asciiTheme="minorHAnsi" w:eastAsiaTheme="minorEastAsia" w:hAnsiTheme="minorHAnsi" w:cstheme="minorHAnsi"/>
          <w:b/>
          <w:bCs/>
          <w:color w:val="000000"/>
          <w:kern w:val="24"/>
          <w:position w:val="1"/>
          <w:sz w:val="28"/>
          <w:szCs w:val="28"/>
        </w:rPr>
        <w:t>Presentation ROFA CDPF Semi</w:t>
      </w:r>
      <w:r w:rsidR="00657EF5">
        <w:rPr>
          <w:rFonts w:asciiTheme="minorHAnsi" w:eastAsiaTheme="minorEastAsia" w:hAnsiTheme="minorHAnsi" w:cstheme="minorHAnsi"/>
          <w:b/>
          <w:bCs/>
          <w:color w:val="000000"/>
          <w:kern w:val="24"/>
          <w:position w:val="1"/>
          <w:sz w:val="28"/>
          <w:szCs w:val="28"/>
        </w:rPr>
        <w:t>n</w:t>
      </w:r>
      <w:r>
        <w:rPr>
          <w:rFonts w:asciiTheme="minorHAnsi" w:eastAsiaTheme="minorEastAsia" w:hAnsiTheme="minorHAnsi" w:cstheme="minorHAnsi"/>
          <w:b/>
          <w:bCs/>
          <w:color w:val="000000"/>
          <w:kern w:val="24"/>
          <w:position w:val="1"/>
          <w:sz w:val="28"/>
          <w:szCs w:val="28"/>
        </w:rPr>
        <w:t>a</w:t>
      </w:r>
      <w:r w:rsidR="00657EF5">
        <w:rPr>
          <w:rFonts w:asciiTheme="minorHAnsi" w:eastAsiaTheme="minorEastAsia" w:hAnsiTheme="minorHAnsi" w:cstheme="minorHAnsi"/>
          <w:b/>
          <w:bCs/>
          <w:color w:val="000000"/>
          <w:kern w:val="24"/>
          <w:position w:val="1"/>
          <w:sz w:val="28"/>
          <w:szCs w:val="28"/>
        </w:rPr>
        <w:t>r</w:t>
      </w:r>
      <w:r>
        <w:rPr>
          <w:rFonts w:asciiTheme="minorHAnsi" w:eastAsiaTheme="minorEastAsia" w:hAnsiTheme="minorHAnsi" w:cstheme="minorHAnsi"/>
          <w:b/>
          <w:bCs/>
          <w:color w:val="000000"/>
          <w:kern w:val="24"/>
          <w:position w:val="1"/>
          <w:sz w:val="28"/>
          <w:szCs w:val="28"/>
        </w:rPr>
        <w:t xml:space="preserve"> 2</w:t>
      </w:r>
      <w:r w:rsidRPr="00656525">
        <w:rPr>
          <w:rFonts w:asciiTheme="minorHAnsi" w:eastAsiaTheme="minorEastAsia" w:hAnsiTheme="minorHAnsi" w:cstheme="minorHAnsi"/>
          <w:b/>
          <w:bCs/>
          <w:color w:val="000000"/>
          <w:kern w:val="24"/>
          <w:position w:val="1"/>
          <w:sz w:val="28"/>
          <w:szCs w:val="28"/>
          <w:vertAlign w:val="superscript"/>
        </w:rPr>
        <w:t>ND</w:t>
      </w:r>
      <w:r>
        <w:rPr>
          <w:rFonts w:asciiTheme="minorHAnsi" w:eastAsiaTheme="minorEastAsia" w:hAnsiTheme="minorHAnsi" w:cstheme="minorHAnsi"/>
          <w:b/>
          <w:bCs/>
          <w:color w:val="000000"/>
          <w:kern w:val="24"/>
          <w:position w:val="1"/>
          <w:sz w:val="28"/>
          <w:szCs w:val="28"/>
        </w:rPr>
        <w:t xml:space="preserve"> November 2020 </w:t>
      </w:r>
    </w:p>
    <w:p w14:paraId="6F20F19F" w14:textId="77777777" w:rsidR="00DF3DE1" w:rsidRDefault="00DF3DE1" w:rsidP="00DF3DE1">
      <w:pPr>
        <w:pStyle w:val="NormalWeb"/>
        <w:spacing w:before="200" w:beforeAutospacing="0" w:after="0" w:afterAutospacing="0" w:line="216" w:lineRule="auto"/>
        <w:rPr>
          <w:rFonts w:ascii="VNQFZ G+ Humanist 777 BT" w:eastAsiaTheme="minorEastAsia" w:hAnsi="VNQFZ G+ Humanist 777 BT" w:cstheme="minorBidi"/>
          <w:color w:val="000000"/>
          <w:kern w:val="24"/>
          <w:position w:val="1"/>
          <w:sz w:val="28"/>
          <w:szCs w:val="28"/>
        </w:rPr>
      </w:pPr>
    </w:p>
    <w:p w14:paraId="07E5241D" w14:textId="51B385CD" w:rsidR="00DF3DE1" w:rsidRPr="00656525" w:rsidRDefault="00DF3DE1" w:rsidP="00DF3DE1">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The CDPF also calls on governments to take the following longer-term steps to avoid future human rights emergencies: </w:t>
      </w:r>
    </w:p>
    <w:p w14:paraId="7CA71538" w14:textId="77777777" w:rsidR="00DF3DE1" w:rsidRPr="00656525" w:rsidRDefault="00DF3DE1" w:rsidP="00DF3DE1">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1. Actively involve persons with disabilities and their representative organisations, and civil society, in planning the recovery process and emergency deinstitutionalisation plans. </w:t>
      </w:r>
    </w:p>
    <w:p w14:paraId="30E5F763" w14:textId="77777777" w:rsidR="00DF3DE1" w:rsidRPr="00656525" w:rsidRDefault="00DF3DE1" w:rsidP="00DF3DE1">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2. Allocate adequate financial and human resources to support the transition from institutions to the community, </w:t>
      </w:r>
      <w:r w:rsidRPr="00656525">
        <w:rPr>
          <w:rFonts w:asciiTheme="minorHAnsi" w:eastAsiaTheme="minorEastAsia" w:hAnsiTheme="minorHAnsi" w:cstheme="minorHAnsi"/>
          <w:color w:val="000000" w:themeColor="text1"/>
          <w:kern w:val="24"/>
          <w:sz w:val="28"/>
          <w:szCs w:val="28"/>
        </w:rPr>
        <w:t xml:space="preserve">in line with Article 19 of the CRPD. </w:t>
      </w:r>
    </w:p>
    <w:p w14:paraId="7F084510" w14:textId="0C61D37A" w:rsidR="00DF3DE1" w:rsidRPr="00656525" w:rsidRDefault="00DF3DE1" w:rsidP="00DF3DE1">
      <w:pPr>
        <w:pStyle w:val="NormalWeb"/>
        <w:spacing w:before="200" w:beforeAutospacing="0" w:after="0" w:afterAutospacing="0" w:line="216" w:lineRule="auto"/>
        <w:rPr>
          <w:rFonts w:asciiTheme="minorHAnsi" w:hAnsiTheme="minorHAnsi" w:cstheme="minorHAnsi"/>
          <w:sz w:val="28"/>
          <w:szCs w:val="28"/>
        </w:rPr>
      </w:pPr>
    </w:p>
    <w:p w14:paraId="13641E6E" w14:textId="28C54C76" w:rsidR="00DF3DE1" w:rsidRPr="00656525" w:rsidRDefault="00DF3DE1">
      <w:pPr>
        <w:rPr>
          <w:rFonts w:eastAsiaTheme="majorEastAsia" w:cstheme="minorHAnsi"/>
          <w:b/>
          <w:bCs/>
          <w:kern w:val="24"/>
          <w:sz w:val="28"/>
          <w:szCs w:val="28"/>
        </w:rPr>
      </w:pPr>
      <w:r w:rsidRPr="00656525">
        <w:rPr>
          <w:rFonts w:eastAsiaTheme="majorEastAsia" w:cstheme="minorHAnsi"/>
          <w:b/>
          <w:bCs/>
          <w:kern w:val="24"/>
          <w:sz w:val="28"/>
          <w:szCs w:val="28"/>
        </w:rPr>
        <w:t>A. De-Institutionalisation</w:t>
      </w:r>
    </w:p>
    <w:p w14:paraId="3E96144D" w14:textId="77777777" w:rsidR="00DF3DE1" w:rsidRPr="00DF3DE1" w:rsidRDefault="00DF3DE1" w:rsidP="00DF3DE1">
      <w:pPr>
        <w:rPr>
          <w:rFonts w:cstheme="minorHAnsi"/>
          <w:sz w:val="28"/>
          <w:szCs w:val="28"/>
        </w:rPr>
      </w:pPr>
      <w:r w:rsidRPr="00DF3DE1">
        <w:rPr>
          <w:rFonts w:cstheme="minorHAnsi"/>
          <w:sz w:val="28"/>
          <w:szCs w:val="28"/>
        </w:rPr>
        <w:t>CDPF calls for :-</w:t>
      </w:r>
    </w:p>
    <w:p w14:paraId="1E95A232" w14:textId="77777777" w:rsidR="00DF3DE1" w:rsidRPr="00DF3DE1" w:rsidRDefault="00DF3DE1" w:rsidP="00DF3DE1">
      <w:pPr>
        <w:rPr>
          <w:rFonts w:cstheme="minorHAnsi"/>
          <w:sz w:val="28"/>
          <w:szCs w:val="28"/>
        </w:rPr>
      </w:pPr>
      <w:r w:rsidRPr="00DF3DE1">
        <w:rPr>
          <w:rFonts w:cstheme="minorHAnsi"/>
          <w:sz w:val="28"/>
          <w:szCs w:val="28"/>
        </w:rPr>
        <w:t xml:space="preserve">1.Develop an emergency deinstitutionalisation plan in line with Article 19 of the CRPD and General Comment No. 5: Right to independent living (2017) of the CRPD Committee. </w:t>
      </w:r>
    </w:p>
    <w:p w14:paraId="6D7C11EE" w14:textId="77777777" w:rsidR="00DF3DE1" w:rsidRPr="00DF3DE1" w:rsidRDefault="00DF3DE1" w:rsidP="00DF3DE1">
      <w:pPr>
        <w:rPr>
          <w:rFonts w:cstheme="minorHAnsi"/>
          <w:sz w:val="28"/>
          <w:szCs w:val="28"/>
        </w:rPr>
      </w:pPr>
      <w:r w:rsidRPr="00DF3DE1">
        <w:rPr>
          <w:rFonts w:cstheme="minorHAnsi"/>
          <w:sz w:val="28"/>
          <w:szCs w:val="28"/>
        </w:rPr>
        <w:t xml:space="preserve">2.Implement an immediate no-admissions policy to large- and small-scale institutions. </w:t>
      </w:r>
    </w:p>
    <w:p w14:paraId="4BC8D963" w14:textId="77777777" w:rsidR="00DF3DE1" w:rsidRPr="00DF3DE1" w:rsidRDefault="00DF3DE1" w:rsidP="00DF3DE1">
      <w:pPr>
        <w:rPr>
          <w:rFonts w:cstheme="minorHAnsi"/>
          <w:sz w:val="28"/>
          <w:szCs w:val="28"/>
        </w:rPr>
      </w:pPr>
      <w:r w:rsidRPr="00DF3DE1">
        <w:rPr>
          <w:rFonts w:cstheme="minorHAnsi"/>
          <w:sz w:val="28"/>
          <w:szCs w:val="28"/>
        </w:rPr>
        <w:t xml:space="preserve">3.Closely monitor the situation in institutions and release data and information on the number of infections and fatalities in institutions. </w:t>
      </w:r>
    </w:p>
    <w:p w14:paraId="7348839A" w14:textId="77777777" w:rsidR="00DF3DE1" w:rsidRPr="00DF3DE1" w:rsidRDefault="00DF3DE1" w:rsidP="00DF3DE1">
      <w:pPr>
        <w:rPr>
          <w:rFonts w:cstheme="minorHAnsi"/>
          <w:sz w:val="28"/>
          <w:szCs w:val="28"/>
        </w:rPr>
      </w:pPr>
      <w:r w:rsidRPr="00DF3DE1">
        <w:rPr>
          <w:rFonts w:cstheme="minorHAnsi"/>
          <w:sz w:val="28"/>
          <w:szCs w:val="28"/>
        </w:rPr>
        <w:t xml:space="preserve">4.Guarantee immediate, unfettered access to independent national human rights authorities, including NHRIs and NPMs, to all institutions, ensuring safety protocols and procedures are in place to enable independent monitoring and direct communication between monitors and residents. </w:t>
      </w:r>
    </w:p>
    <w:p w14:paraId="3FEDA694" w14:textId="77777777" w:rsidR="00DF3DE1" w:rsidRPr="00DF3DE1" w:rsidRDefault="00DF3DE1" w:rsidP="00DF3DE1">
      <w:pPr>
        <w:rPr>
          <w:rFonts w:cstheme="minorHAnsi"/>
          <w:sz w:val="28"/>
          <w:szCs w:val="28"/>
        </w:rPr>
      </w:pPr>
      <w:r w:rsidRPr="00DF3DE1">
        <w:rPr>
          <w:rFonts w:cstheme="minorHAnsi"/>
          <w:sz w:val="28"/>
          <w:szCs w:val="28"/>
        </w:rPr>
        <w:t xml:space="preserve">5.Provide immediate access to food, PPE, social distancing measures, and appropriately trained staff. </w:t>
      </w:r>
    </w:p>
    <w:p w14:paraId="1B1C4A85" w14:textId="77777777" w:rsidR="00DF3DE1" w:rsidRPr="00DF3DE1" w:rsidRDefault="00DF3DE1" w:rsidP="00DF3DE1">
      <w:pPr>
        <w:rPr>
          <w:rFonts w:cstheme="minorHAnsi"/>
          <w:sz w:val="28"/>
          <w:szCs w:val="28"/>
        </w:rPr>
      </w:pPr>
      <w:r w:rsidRPr="00DF3DE1">
        <w:rPr>
          <w:rFonts w:cstheme="minorHAnsi"/>
          <w:sz w:val="28"/>
          <w:szCs w:val="28"/>
        </w:rPr>
        <w:t xml:space="preserve">6.Provide accessible information in multiple formats about the state of emergency. </w:t>
      </w:r>
    </w:p>
    <w:p w14:paraId="03DFED94" w14:textId="77777777" w:rsidR="00DF3DE1" w:rsidRPr="00656525" w:rsidRDefault="00DF3DE1" w:rsidP="00DF3DE1">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7.Ensure full access to healthcare on an equal basis with other citizens. </w:t>
      </w:r>
    </w:p>
    <w:p w14:paraId="40AA06E8" w14:textId="77777777" w:rsidR="00DF3DE1" w:rsidRPr="00656525" w:rsidRDefault="00DF3DE1" w:rsidP="00DF3DE1">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8.Implement immediate measures to ensure that residents can contact law enforcement and complaints mechanisms, and to ensure contact with family and friends. </w:t>
      </w:r>
    </w:p>
    <w:p w14:paraId="55D7B857" w14:textId="77777777" w:rsidR="00DF3DE1" w:rsidRPr="00656525" w:rsidRDefault="00DF3DE1" w:rsidP="00DF3DE1">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sz w:val="28"/>
          <w:szCs w:val="28"/>
        </w:rPr>
        <w:t>9.</w:t>
      </w:r>
      <w:r w:rsidRPr="00656525">
        <w:rPr>
          <w:rFonts w:asciiTheme="minorHAnsi" w:eastAsiaTheme="minorEastAsia" w:hAnsiTheme="minorHAnsi" w:cstheme="minorHAnsi"/>
          <w:color w:val="000000"/>
          <w:kern w:val="24"/>
          <w:position w:val="1"/>
          <w:sz w:val="28"/>
          <w:szCs w:val="28"/>
        </w:rPr>
        <w:t xml:space="preserve">Ensure that persons within institutions have access to mental health supports and services. </w:t>
      </w:r>
    </w:p>
    <w:p w14:paraId="4FC7B513" w14:textId="77777777" w:rsidR="00DF3DE1" w:rsidRPr="00656525" w:rsidRDefault="00DF3DE1" w:rsidP="00DF3DE1">
      <w:pPr>
        <w:pStyle w:val="NormalWeb"/>
        <w:spacing w:before="200" w:beforeAutospacing="0" w:after="0" w:afterAutospacing="0" w:line="216" w:lineRule="auto"/>
        <w:rPr>
          <w:rFonts w:asciiTheme="minorHAnsi" w:hAnsiTheme="minorHAnsi" w:cstheme="minorHAnsi"/>
          <w:sz w:val="28"/>
          <w:szCs w:val="28"/>
        </w:rPr>
      </w:pPr>
      <w:r w:rsidRPr="00656525">
        <w:rPr>
          <w:rFonts w:asciiTheme="minorHAnsi" w:eastAsiaTheme="minorEastAsia" w:hAnsiTheme="minorHAnsi" w:cstheme="minorHAnsi"/>
          <w:color w:val="000000"/>
          <w:kern w:val="24"/>
          <w:position w:val="1"/>
          <w:sz w:val="28"/>
          <w:szCs w:val="28"/>
        </w:rPr>
        <w:t xml:space="preserve">10. Prevent family separation and institutionalisation of children (or parents) due to COVID-19 pandemic. </w:t>
      </w:r>
    </w:p>
    <w:p w14:paraId="55D62604" w14:textId="77777777" w:rsidR="00DF3DE1" w:rsidRPr="00656525" w:rsidRDefault="00DF3DE1">
      <w:pPr>
        <w:rPr>
          <w:rFonts w:eastAsiaTheme="majorEastAsia" w:cstheme="minorHAnsi"/>
          <w:b/>
          <w:bCs/>
          <w:kern w:val="24"/>
          <w:sz w:val="28"/>
          <w:szCs w:val="28"/>
        </w:rPr>
      </w:pPr>
    </w:p>
    <w:p w14:paraId="19BE4D89" w14:textId="75B615EA" w:rsidR="00DF3DE1" w:rsidRPr="00656525" w:rsidRDefault="00DF3DE1">
      <w:pPr>
        <w:rPr>
          <w:rFonts w:eastAsiaTheme="majorEastAsia" w:cstheme="minorHAnsi"/>
          <w:b/>
          <w:bCs/>
          <w:kern w:val="24"/>
          <w:sz w:val="28"/>
          <w:szCs w:val="28"/>
        </w:rPr>
      </w:pPr>
      <w:r w:rsidRPr="00656525">
        <w:rPr>
          <w:rFonts w:eastAsiaTheme="majorEastAsia" w:cstheme="minorHAnsi"/>
          <w:b/>
          <w:bCs/>
          <w:kern w:val="24"/>
          <w:sz w:val="28"/>
          <w:szCs w:val="28"/>
        </w:rPr>
        <w:t>B. Disabled People living in the Community</w:t>
      </w:r>
    </w:p>
    <w:p w14:paraId="692428B4" w14:textId="77777777" w:rsidR="00DF3DE1" w:rsidRPr="00656525" w:rsidRDefault="00DF3DE1" w:rsidP="005831CB">
      <w:pPr>
        <w:spacing w:line="216" w:lineRule="auto"/>
        <w:rPr>
          <w:rFonts w:cstheme="minorHAnsi"/>
          <w:sz w:val="28"/>
          <w:szCs w:val="28"/>
        </w:rPr>
      </w:pPr>
      <w:r w:rsidRPr="00656525">
        <w:rPr>
          <w:rFonts w:eastAsiaTheme="minorEastAsia" w:cstheme="minorHAnsi"/>
          <w:color w:val="000000" w:themeColor="text1"/>
          <w:kern w:val="24"/>
          <w:sz w:val="28"/>
          <w:szCs w:val="28"/>
        </w:rPr>
        <w:lastRenderedPageBreak/>
        <w:t xml:space="preserve">1. Guarantee full participation and meaningful involvement of disabled people and their representative organisations at every stage of the response. </w:t>
      </w:r>
    </w:p>
    <w:p w14:paraId="2B3A71A3" w14:textId="77777777" w:rsidR="00DF3DE1" w:rsidRPr="00656525" w:rsidRDefault="00DF3DE1" w:rsidP="005831CB">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2. Safeguard community-based services including personal assistance, home supports, and assistive technology. </w:t>
      </w:r>
    </w:p>
    <w:p w14:paraId="7C26316F" w14:textId="77777777" w:rsidR="00DF3DE1" w:rsidRPr="00656525" w:rsidRDefault="00DF3DE1" w:rsidP="005831CB">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3. Provide information about the state of emergency in multiple, accessible formats. </w:t>
      </w:r>
    </w:p>
    <w:p w14:paraId="60436A81" w14:textId="77777777" w:rsidR="00DF3DE1" w:rsidRPr="00656525" w:rsidRDefault="00DF3DE1" w:rsidP="005831CB">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4. Enact emergency measures to ensure adequate and affordable food and medication distribution throughout the country, including rural and remote areas. </w:t>
      </w:r>
    </w:p>
    <w:p w14:paraId="1559C862" w14:textId="77777777" w:rsidR="00DF3DE1" w:rsidRPr="00656525" w:rsidRDefault="00DF3DE1" w:rsidP="005831CB">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5. Provide immediate financial assistance to disabled people to cover the additional cost of living and the rise in the cost of food, medications, and other essential supplies. </w:t>
      </w:r>
    </w:p>
    <w:p w14:paraId="123C958A" w14:textId="27B6503D"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6. Work with private sector companies such as supermarkets to ensure that food is delivered to the homes of disabled peopl</w:t>
      </w:r>
      <w:r w:rsidRPr="00656525">
        <w:rPr>
          <w:rFonts w:eastAsiaTheme="minorEastAsia" w:cstheme="minorHAnsi"/>
          <w:color w:val="000000" w:themeColor="text1"/>
          <w:kern w:val="24"/>
          <w:sz w:val="28"/>
          <w:szCs w:val="28"/>
          <w:lang w:eastAsia="en-GB"/>
        </w:rPr>
        <w:t>e,</w:t>
      </w:r>
      <w:r w:rsidRPr="005831CB">
        <w:rPr>
          <w:rFonts w:eastAsiaTheme="minorEastAsia" w:cstheme="minorHAnsi"/>
          <w:color w:val="000000" w:themeColor="text1"/>
          <w:kern w:val="24"/>
          <w:sz w:val="28"/>
          <w:szCs w:val="28"/>
          <w:lang w:eastAsia="en-GB"/>
        </w:rPr>
        <w:t xml:space="preserve"> who are unable to leave, and encourage them to allocate dedicated times for vulnerable shoppers, including persons with disabilities.</w:t>
      </w:r>
    </w:p>
    <w:p w14:paraId="39419ABC"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 xml:space="preserve"> 7. Investigate and hold accountable police and other security services which abuse, injure, or kill disabled people. </w:t>
      </w:r>
    </w:p>
    <w:p w14:paraId="24DA02B4"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8. Put in place necessary measures to protect persons with disabilities who are in situations of risk, especially during curfews, lockdowns, shielding orders, or shelter at home orders related to the COVID-19 pandemic.</w:t>
      </w:r>
    </w:p>
    <w:p w14:paraId="5AA67627"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 xml:space="preserve"> 9. Ensure all security briefings and reports take into consideration the perspectives and rights of persons with disabilities during the COVID-19 pandemic. </w:t>
      </w:r>
    </w:p>
    <w:p w14:paraId="3F0F89F0"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10. Ensure police officers and security forces are trained to take into account the specific needs of disabled people during the COVID-19 pandemic.</w:t>
      </w:r>
    </w:p>
    <w:p w14:paraId="1D93313C" w14:textId="77777777" w:rsidR="005831CB" w:rsidRPr="00656525" w:rsidRDefault="005831CB">
      <w:pPr>
        <w:rPr>
          <w:rFonts w:cstheme="minorHAnsi"/>
          <w:b/>
          <w:bCs/>
          <w:sz w:val="28"/>
          <w:szCs w:val="28"/>
        </w:rPr>
      </w:pPr>
    </w:p>
    <w:p w14:paraId="6573B7C1" w14:textId="32D480F9" w:rsidR="00DF3DE1" w:rsidRPr="00656525" w:rsidRDefault="005831CB">
      <w:pPr>
        <w:rPr>
          <w:rFonts w:eastAsiaTheme="majorEastAsia" w:cstheme="minorHAnsi"/>
          <w:b/>
          <w:bCs/>
          <w:kern w:val="24"/>
          <w:sz w:val="28"/>
          <w:szCs w:val="28"/>
        </w:rPr>
      </w:pPr>
      <w:r w:rsidRPr="00656525">
        <w:rPr>
          <w:rFonts w:cstheme="minorHAnsi"/>
          <w:b/>
          <w:bCs/>
          <w:sz w:val="28"/>
          <w:szCs w:val="28"/>
        </w:rPr>
        <w:t xml:space="preserve">C. </w:t>
      </w:r>
      <w:r w:rsidRPr="00656525">
        <w:rPr>
          <w:rFonts w:eastAsiaTheme="majorEastAsia" w:cstheme="minorHAnsi"/>
          <w:b/>
          <w:bCs/>
          <w:kern w:val="24"/>
          <w:sz w:val="28"/>
          <w:szCs w:val="28"/>
        </w:rPr>
        <w:t>Denial of access to healthcare</w:t>
      </w:r>
    </w:p>
    <w:p w14:paraId="42C6FB09" w14:textId="77777777" w:rsidR="005831CB" w:rsidRPr="00656525" w:rsidRDefault="005831CB" w:rsidP="005831CB">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1. Guarantee full participation and meaningful involvement of disabled people and their representative organisations at every stage of health policy making. </w:t>
      </w:r>
    </w:p>
    <w:p w14:paraId="66997031" w14:textId="09D9DD8F" w:rsidR="005831CB" w:rsidRPr="00656525" w:rsidRDefault="005831CB" w:rsidP="005831CB">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2. Prevent denial of health information, health care, or health services on the basis of impairment. Provide access to justice for those who have been denied access to healthcare. </w:t>
      </w:r>
    </w:p>
    <w:p w14:paraId="27720588" w14:textId="6B0C9274" w:rsidR="005831CB" w:rsidRPr="00656525" w:rsidRDefault="005831CB" w:rsidP="005831CB">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3. Disabled People, including persons living in institutions, enjoy the highest attainable standard of health without discrimination on the basis of impairment . </w:t>
      </w:r>
    </w:p>
    <w:p w14:paraId="5C4B044D" w14:textId="77777777" w:rsidR="005831CB" w:rsidRPr="00656525" w:rsidRDefault="005831CB" w:rsidP="005831CB">
      <w:pPr>
        <w:spacing w:line="216" w:lineRule="auto"/>
        <w:rPr>
          <w:rFonts w:cstheme="minorHAnsi"/>
          <w:sz w:val="28"/>
          <w:szCs w:val="28"/>
        </w:rPr>
      </w:pPr>
      <w:r w:rsidRPr="00656525">
        <w:rPr>
          <w:rFonts w:eastAsiaTheme="minorEastAsia" w:cstheme="minorHAnsi"/>
          <w:color w:val="000000" w:themeColor="text1"/>
          <w:kern w:val="24"/>
          <w:sz w:val="28"/>
          <w:szCs w:val="28"/>
        </w:rPr>
        <w:t xml:space="preserve">4. Require health professionals to provide healthcare and health information to disabled people on an equal basis with other citizens, including persons in institutions. </w:t>
      </w:r>
    </w:p>
    <w:p w14:paraId="44F0EC44" w14:textId="77777777" w:rsidR="005831CB" w:rsidRPr="00656525" w:rsidRDefault="005831CB" w:rsidP="005831CB">
      <w:pPr>
        <w:spacing w:line="216" w:lineRule="auto"/>
        <w:rPr>
          <w:rFonts w:cstheme="minorHAnsi"/>
          <w:sz w:val="28"/>
          <w:szCs w:val="28"/>
        </w:rPr>
      </w:pPr>
      <w:r w:rsidRPr="00656525">
        <w:rPr>
          <w:rFonts w:eastAsiaTheme="minorEastAsia" w:cstheme="minorHAnsi"/>
          <w:color w:val="000000" w:themeColor="text1"/>
          <w:kern w:val="24"/>
          <w:sz w:val="28"/>
          <w:szCs w:val="28"/>
        </w:rPr>
        <w:t>5. Raise awareness of disability rights among health professionals, including the right to access information and give free and informed consent to medical treatment</w:t>
      </w:r>
    </w:p>
    <w:p w14:paraId="03754D90" w14:textId="77777777" w:rsidR="005831CB" w:rsidRPr="005831CB" w:rsidRDefault="005831CB" w:rsidP="005831CB">
      <w:pPr>
        <w:rPr>
          <w:rFonts w:cstheme="minorHAnsi"/>
          <w:sz w:val="28"/>
          <w:szCs w:val="28"/>
        </w:rPr>
      </w:pPr>
      <w:r w:rsidRPr="005831CB">
        <w:rPr>
          <w:rFonts w:cstheme="minorHAnsi"/>
          <w:sz w:val="28"/>
          <w:szCs w:val="28"/>
        </w:rPr>
        <w:t>6. Ensure access to specialised health services including rehabilitation.</w:t>
      </w:r>
    </w:p>
    <w:p w14:paraId="462D4535" w14:textId="77777777" w:rsidR="005831CB" w:rsidRPr="005831CB" w:rsidRDefault="005831CB" w:rsidP="005831CB">
      <w:pPr>
        <w:rPr>
          <w:rFonts w:cstheme="minorHAnsi"/>
          <w:sz w:val="28"/>
          <w:szCs w:val="28"/>
        </w:rPr>
      </w:pPr>
      <w:r w:rsidRPr="005831CB">
        <w:rPr>
          <w:rFonts w:cstheme="minorHAnsi"/>
          <w:sz w:val="28"/>
          <w:szCs w:val="28"/>
        </w:rPr>
        <w:t xml:space="preserve"> 7. Guarantee free or affordable healthcare, food and medicine, and prohibit discrimination against disabled people in the provision of health insurance </w:t>
      </w:r>
    </w:p>
    <w:p w14:paraId="51C4EF6C" w14:textId="77777777" w:rsidR="005831CB" w:rsidRPr="005831CB" w:rsidRDefault="005831CB" w:rsidP="005831CB">
      <w:pPr>
        <w:rPr>
          <w:rFonts w:cstheme="minorHAnsi"/>
          <w:sz w:val="28"/>
          <w:szCs w:val="28"/>
        </w:rPr>
      </w:pPr>
      <w:r w:rsidRPr="005831CB">
        <w:rPr>
          <w:rFonts w:cstheme="minorHAnsi"/>
          <w:sz w:val="28"/>
          <w:szCs w:val="28"/>
        </w:rPr>
        <w:t xml:space="preserve">8. Provide health information and services as close as possible to people’s own communities, including in remote and rural areas. </w:t>
      </w:r>
    </w:p>
    <w:p w14:paraId="0B21F507" w14:textId="77777777" w:rsidR="005831CB" w:rsidRPr="005831CB" w:rsidRDefault="005831CB" w:rsidP="005831CB">
      <w:pPr>
        <w:rPr>
          <w:rFonts w:cstheme="minorHAnsi"/>
          <w:sz w:val="28"/>
          <w:szCs w:val="28"/>
        </w:rPr>
      </w:pPr>
      <w:r w:rsidRPr="005831CB">
        <w:rPr>
          <w:rFonts w:cstheme="minorHAnsi"/>
          <w:sz w:val="28"/>
          <w:szCs w:val="28"/>
        </w:rPr>
        <w:lastRenderedPageBreak/>
        <w:t xml:space="preserve">9. Ensure that health information and services are age- and gender-sensitive. </w:t>
      </w:r>
    </w:p>
    <w:p w14:paraId="30C1CB83" w14:textId="6E85075B" w:rsidR="005831CB" w:rsidRPr="00656525" w:rsidRDefault="005831CB" w:rsidP="005831CB">
      <w:pPr>
        <w:rPr>
          <w:rFonts w:cstheme="minorHAnsi"/>
          <w:sz w:val="28"/>
          <w:szCs w:val="28"/>
        </w:rPr>
      </w:pPr>
      <w:r w:rsidRPr="005831CB">
        <w:rPr>
          <w:rFonts w:cstheme="minorHAnsi"/>
          <w:sz w:val="28"/>
          <w:szCs w:val="28"/>
        </w:rPr>
        <w:t>10. Provide information about healthcare in multiple, accessible formats.</w:t>
      </w:r>
    </w:p>
    <w:p w14:paraId="00781F0E" w14:textId="66365E8A" w:rsidR="005831CB" w:rsidRPr="00656525" w:rsidRDefault="005831CB" w:rsidP="005831CB">
      <w:pPr>
        <w:rPr>
          <w:rFonts w:cstheme="minorHAnsi"/>
          <w:b/>
          <w:bCs/>
          <w:sz w:val="28"/>
          <w:szCs w:val="28"/>
        </w:rPr>
      </w:pPr>
      <w:r w:rsidRPr="00656525">
        <w:rPr>
          <w:rFonts w:cstheme="minorHAnsi"/>
          <w:b/>
          <w:bCs/>
          <w:sz w:val="28"/>
          <w:szCs w:val="28"/>
        </w:rPr>
        <w:t xml:space="preserve">D. Education </w:t>
      </w:r>
    </w:p>
    <w:p w14:paraId="5245D39C"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1. With up to 1.6 billion children locked out of education recognise that disabled children, girls and poor children were least likely to continue learning or to return to school.</w:t>
      </w:r>
    </w:p>
    <w:p w14:paraId="5BD3FA89"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2.Governments need to make every effort to get all children back to school</w:t>
      </w:r>
    </w:p>
    <w:p w14:paraId="6E3F4510"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3.Develop inclusive and engaging teaching to meet children where they are in terms of learning</w:t>
      </w:r>
    </w:p>
    <w:p w14:paraId="0C497B37"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4.Strengthen education workforce with teachers leading child-centred teams drawing together parents and community to enhance learning</w:t>
      </w:r>
    </w:p>
    <w:p w14:paraId="7A089EF4"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5.Expand the scope of education technology to provide teacher training and learning at home in future lockdowns.</w:t>
      </w:r>
    </w:p>
    <w:p w14:paraId="37C6FCC3" w14:textId="1E73BA1E" w:rsidR="005831CB" w:rsidRPr="00656525" w:rsidRDefault="005831CB" w:rsidP="005831CB">
      <w:pPr>
        <w:spacing w:before="200" w:after="0" w:line="216" w:lineRule="auto"/>
        <w:rPr>
          <w:rFonts w:eastAsiaTheme="minorEastAsia" w:cstheme="minorHAnsi"/>
          <w:color w:val="000000" w:themeColor="text1"/>
          <w:kern w:val="24"/>
          <w:sz w:val="28"/>
          <w:szCs w:val="28"/>
          <w:lang w:eastAsia="en-GB"/>
        </w:rPr>
      </w:pPr>
      <w:r w:rsidRPr="005831CB">
        <w:rPr>
          <w:rFonts w:eastAsiaTheme="minorEastAsia" w:cstheme="minorHAnsi"/>
          <w:color w:val="000000" w:themeColor="text1"/>
          <w:kern w:val="24"/>
          <w:sz w:val="28"/>
          <w:szCs w:val="28"/>
          <w:lang w:eastAsia="en-GB"/>
        </w:rPr>
        <w:t>6. Ensuring all learners get access to online or radio learning</w:t>
      </w:r>
      <w:r w:rsidRPr="00656525">
        <w:rPr>
          <w:rFonts w:eastAsiaTheme="minorEastAsia" w:cstheme="minorHAnsi"/>
          <w:color w:val="000000" w:themeColor="text1"/>
          <w:kern w:val="24"/>
          <w:sz w:val="28"/>
          <w:szCs w:val="28"/>
          <w:lang w:eastAsia="en-GB"/>
        </w:rPr>
        <w:t>.</w:t>
      </w:r>
    </w:p>
    <w:p w14:paraId="46708968"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7. Protect and enhance funding especially for reasonable accommodations and support for disabled learners.</w:t>
      </w:r>
    </w:p>
    <w:p w14:paraId="66542B2D"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8. Mobilise international resources to fill the resource gap internationally to achieve SDG 4 has increased to $150 to $450 billion.</w:t>
      </w:r>
    </w:p>
    <w:p w14:paraId="460959BB" w14:textId="77777777"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9. Cancel loans and debt servicing to low income countries</w:t>
      </w:r>
    </w:p>
    <w:p w14:paraId="6FC4227D" w14:textId="5C3A84F1" w:rsidR="005831CB" w:rsidRPr="005831CB" w:rsidRDefault="005831CB" w:rsidP="005831CB">
      <w:pPr>
        <w:spacing w:before="200" w:after="0" w:line="216" w:lineRule="auto"/>
        <w:rPr>
          <w:rFonts w:eastAsia="Times New Roman" w:cstheme="minorHAnsi"/>
          <w:sz w:val="28"/>
          <w:szCs w:val="28"/>
          <w:lang w:eastAsia="en-GB"/>
        </w:rPr>
      </w:pPr>
      <w:r w:rsidRPr="005831CB">
        <w:rPr>
          <w:rFonts w:eastAsiaTheme="minorEastAsia" w:cstheme="minorHAnsi"/>
          <w:color w:val="000000" w:themeColor="text1"/>
          <w:kern w:val="24"/>
          <w:sz w:val="28"/>
          <w:szCs w:val="28"/>
          <w:lang w:eastAsia="en-GB"/>
        </w:rPr>
        <w:t>10. Improve organisation focused on learner</w:t>
      </w:r>
      <w:r w:rsidRPr="00656525">
        <w:rPr>
          <w:rFonts w:eastAsiaTheme="minorEastAsia" w:cstheme="minorHAnsi"/>
          <w:color w:val="000000" w:themeColor="text1"/>
          <w:kern w:val="24"/>
          <w:sz w:val="28"/>
          <w:szCs w:val="28"/>
          <w:lang w:eastAsia="en-GB"/>
        </w:rPr>
        <w:t>’</w:t>
      </w:r>
      <w:r w:rsidRPr="005831CB">
        <w:rPr>
          <w:rFonts w:eastAsiaTheme="minorEastAsia" w:cstheme="minorHAnsi"/>
          <w:color w:val="000000" w:themeColor="text1"/>
          <w:kern w:val="24"/>
          <w:sz w:val="28"/>
          <w:szCs w:val="28"/>
          <w:lang w:eastAsia="en-GB"/>
        </w:rPr>
        <w:t>s achievements at every level.</w:t>
      </w:r>
    </w:p>
    <w:p w14:paraId="70324192" w14:textId="77777777" w:rsidR="005831CB" w:rsidRPr="005831CB" w:rsidRDefault="005831CB" w:rsidP="005831CB">
      <w:pPr>
        <w:spacing w:before="200" w:after="0" w:line="216" w:lineRule="auto"/>
        <w:rPr>
          <w:rFonts w:eastAsia="Times New Roman" w:cstheme="minorHAnsi"/>
          <w:sz w:val="28"/>
          <w:szCs w:val="28"/>
          <w:lang w:eastAsia="en-GB"/>
        </w:rPr>
      </w:pPr>
    </w:p>
    <w:p w14:paraId="0961F4D9" w14:textId="5416F65C" w:rsidR="005831CB" w:rsidRPr="00656525" w:rsidRDefault="005831CB" w:rsidP="005831CB">
      <w:pPr>
        <w:pStyle w:val="NormalWeb"/>
        <w:spacing w:before="200" w:beforeAutospacing="0" w:after="0" w:afterAutospacing="0" w:line="216" w:lineRule="auto"/>
        <w:jc w:val="center"/>
        <w:rPr>
          <w:rFonts w:asciiTheme="minorHAnsi" w:hAnsiTheme="minorHAnsi" w:cstheme="minorHAnsi"/>
          <w:sz w:val="28"/>
          <w:szCs w:val="28"/>
        </w:rPr>
      </w:pPr>
      <w:r w:rsidRPr="00656525">
        <w:rPr>
          <w:rFonts w:asciiTheme="minorHAnsi" w:hAnsiTheme="minorHAnsi" w:cstheme="minorHAnsi"/>
          <w:b/>
          <w:bCs/>
          <w:sz w:val="28"/>
          <w:szCs w:val="28"/>
        </w:rPr>
        <w:t xml:space="preserve">Note </w:t>
      </w:r>
      <w:r w:rsidRPr="00656525">
        <w:rPr>
          <w:rFonts w:asciiTheme="minorHAnsi" w:eastAsiaTheme="minorEastAsia" w:hAnsiTheme="minorHAnsi" w:cstheme="minorHAnsi"/>
          <w:color w:val="000000" w:themeColor="text1"/>
          <w:kern w:val="24"/>
          <w:sz w:val="28"/>
          <w:szCs w:val="28"/>
        </w:rPr>
        <w:t xml:space="preserve">This list of requirements draws on the recent report of the </w:t>
      </w:r>
      <w:r w:rsidRPr="00656525">
        <w:rPr>
          <w:rFonts w:asciiTheme="minorHAnsi" w:eastAsiaTheme="minorEastAsia" w:hAnsiTheme="minorHAnsi" w:cstheme="minorHAnsi"/>
          <w:b/>
          <w:bCs/>
          <w:color w:val="000000" w:themeColor="text1"/>
          <w:kern w:val="24"/>
          <w:sz w:val="28"/>
          <w:szCs w:val="28"/>
        </w:rPr>
        <w:t>COVID-19 Disability Rights Monitoring Group</w:t>
      </w:r>
      <w:r w:rsidRPr="00656525">
        <w:rPr>
          <w:rFonts w:asciiTheme="minorHAnsi" w:eastAsiaTheme="minorEastAsia" w:hAnsiTheme="minorHAnsi" w:cstheme="minorHAnsi"/>
          <w:color w:val="000000" w:themeColor="text1"/>
          <w:kern w:val="24"/>
          <w:sz w:val="28"/>
          <w:szCs w:val="28"/>
        </w:rPr>
        <w:t xml:space="preserve">  </w:t>
      </w:r>
      <w:hyperlink r:id="rId5" w:history="1">
        <w:r w:rsidRPr="00656525">
          <w:rPr>
            <w:rFonts w:asciiTheme="minorHAnsi" w:eastAsiaTheme="minorEastAsia" w:hAnsiTheme="minorHAnsi" w:cstheme="minorHAnsi"/>
            <w:color w:val="000000" w:themeColor="text1"/>
            <w:kern w:val="24"/>
            <w:sz w:val="28"/>
            <w:szCs w:val="28"/>
            <w:u w:val="single"/>
          </w:rPr>
          <w:t>https://integratedcarefoundation.org/wp-content/uploads/2020/10/Disability-Rights-During-the-Pandemic-report-web.pdf</w:t>
        </w:r>
      </w:hyperlink>
      <w:r w:rsidR="00656525" w:rsidRPr="00656525">
        <w:rPr>
          <w:rFonts w:asciiTheme="minorHAnsi" w:eastAsiaTheme="minorEastAsia" w:hAnsiTheme="minorHAnsi" w:cstheme="minorHAnsi"/>
          <w:color w:val="000000" w:themeColor="text1"/>
          <w:kern w:val="24"/>
          <w:sz w:val="28"/>
          <w:szCs w:val="28"/>
        </w:rPr>
        <w:t xml:space="preserve"> </w:t>
      </w:r>
      <w:r w:rsidRPr="00656525">
        <w:rPr>
          <w:rFonts w:asciiTheme="minorHAnsi" w:eastAsiaTheme="minorEastAsia" w:hAnsiTheme="minorHAnsi" w:cstheme="minorHAnsi"/>
          <w:color w:val="000000" w:themeColor="text1"/>
          <w:kern w:val="24"/>
          <w:sz w:val="28"/>
          <w:szCs w:val="28"/>
        </w:rPr>
        <w:t xml:space="preserve">  </w:t>
      </w:r>
    </w:p>
    <w:p w14:paraId="4ED5B4CA" w14:textId="65C10059" w:rsidR="005831CB" w:rsidRPr="005831CB" w:rsidRDefault="00656525" w:rsidP="005831CB">
      <w:pPr>
        <w:rPr>
          <w:rFonts w:cstheme="minorHAnsi"/>
          <w:b/>
          <w:bCs/>
          <w:sz w:val="28"/>
          <w:szCs w:val="28"/>
        </w:rPr>
      </w:pPr>
      <w:r w:rsidRPr="00656525">
        <w:rPr>
          <w:rFonts w:cstheme="minorHAnsi"/>
          <w:b/>
          <w:bCs/>
          <w:sz w:val="28"/>
          <w:szCs w:val="28"/>
        </w:rPr>
        <w:t xml:space="preserve">And </w:t>
      </w:r>
    </w:p>
    <w:p w14:paraId="1D649073" w14:textId="6BA6B87E" w:rsidR="005831CB" w:rsidRPr="005831CB" w:rsidRDefault="00656525">
      <w:pPr>
        <w:rPr>
          <w:rFonts w:cstheme="minorHAnsi"/>
          <w:b/>
          <w:bCs/>
          <w:sz w:val="28"/>
          <w:szCs w:val="28"/>
        </w:rPr>
      </w:pPr>
      <w:r w:rsidRPr="00656525">
        <w:rPr>
          <w:rFonts w:cstheme="minorHAnsi"/>
          <w:b/>
          <w:bCs/>
          <w:sz w:val="28"/>
          <w:szCs w:val="28"/>
        </w:rPr>
        <w:t>Save Our Futures  White</w:t>
      </w:r>
      <w:r>
        <w:rPr>
          <w:rFonts w:cstheme="minorHAnsi"/>
          <w:b/>
          <w:bCs/>
          <w:sz w:val="28"/>
          <w:szCs w:val="28"/>
        </w:rPr>
        <w:t>:</w:t>
      </w:r>
      <w:r w:rsidRPr="00656525">
        <w:rPr>
          <w:rFonts w:cstheme="minorHAnsi"/>
          <w:b/>
          <w:bCs/>
          <w:sz w:val="28"/>
          <w:szCs w:val="28"/>
        </w:rPr>
        <w:t xml:space="preserve"> Paper Aver</w:t>
      </w:r>
      <w:r>
        <w:rPr>
          <w:rFonts w:cstheme="minorHAnsi"/>
          <w:b/>
          <w:bCs/>
          <w:sz w:val="28"/>
          <w:szCs w:val="28"/>
        </w:rPr>
        <w:t>t</w:t>
      </w:r>
      <w:r w:rsidRPr="00656525">
        <w:rPr>
          <w:rFonts w:cstheme="minorHAnsi"/>
          <w:b/>
          <w:bCs/>
          <w:sz w:val="28"/>
          <w:szCs w:val="28"/>
        </w:rPr>
        <w:t xml:space="preserve">ing An Educational Catastrophe For The World’s Children </w:t>
      </w:r>
      <w:hyperlink r:id="rId6" w:anchor=":~:text=The%20white%20paper%2D%2D%2DSave,the%20international%20community%20commit%20to%3A&amp;text=Focus%20education%20technology%20where%20it,technology%20continues%20to%20exacerbate%20inequality" w:history="1">
        <w:r w:rsidRPr="00656525">
          <w:rPr>
            <w:rStyle w:val="Hyperlink"/>
            <w:rFonts w:cstheme="minorHAnsi"/>
            <w:sz w:val="28"/>
            <w:szCs w:val="28"/>
          </w:rPr>
          <w:t>https://reliefweb.int/report/world/save-our-future-averting-education-catastrophe-world-s-children#:~:text=The%20white%20paper%2D%2D%2DSave,the%20international%20community%20commit%20to%3A&amp;text=Focus%20education%20technology%20where%20it,technology%20continues%20to%20exacerbate%20inequality</w:t>
        </w:r>
      </w:hyperlink>
      <w:r w:rsidRPr="00656525">
        <w:rPr>
          <w:rFonts w:cstheme="minorHAnsi"/>
          <w:sz w:val="28"/>
          <w:szCs w:val="28"/>
        </w:rPr>
        <w:t xml:space="preserve"> </w:t>
      </w:r>
      <w:r w:rsidR="005831CB" w:rsidRPr="00656525">
        <w:rPr>
          <w:rFonts w:cstheme="minorHAnsi"/>
          <w:sz w:val="28"/>
          <w:szCs w:val="28"/>
        </w:rPr>
        <w:t>.</w:t>
      </w:r>
    </w:p>
    <w:sectPr w:rsidR="005831CB" w:rsidRPr="005831CB" w:rsidSect="00DF3D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QFZ G+ Humanist 777 B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006"/>
    <w:multiLevelType w:val="hybridMultilevel"/>
    <w:tmpl w:val="16761EBE"/>
    <w:lvl w:ilvl="0" w:tplc="A1802DE0">
      <w:start w:val="1"/>
      <w:numFmt w:val="bullet"/>
      <w:lvlText w:val="•"/>
      <w:lvlJc w:val="left"/>
      <w:pPr>
        <w:tabs>
          <w:tab w:val="num" w:pos="720"/>
        </w:tabs>
        <w:ind w:left="720" w:hanging="360"/>
      </w:pPr>
      <w:rPr>
        <w:rFonts w:ascii="Arial" w:hAnsi="Arial" w:hint="default"/>
      </w:rPr>
    </w:lvl>
    <w:lvl w:ilvl="1" w:tplc="5D7E4848" w:tentative="1">
      <w:start w:val="1"/>
      <w:numFmt w:val="bullet"/>
      <w:lvlText w:val="•"/>
      <w:lvlJc w:val="left"/>
      <w:pPr>
        <w:tabs>
          <w:tab w:val="num" w:pos="1440"/>
        </w:tabs>
        <w:ind w:left="1440" w:hanging="360"/>
      </w:pPr>
      <w:rPr>
        <w:rFonts w:ascii="Arial" w:hAnsi="Arial" w:hint="default"/>
      </w:rPr>
    </w:lvl>
    <w:lvl w:ilvl="2" w:tplc="6C66E5CC" w:tentative="1">
      <w:start w:val="1"/>
      <w:numFmt w:val="bullet"/>
      <w:lvlText w:val="•"/>
      <w:lvlJc w:val="left"/>
      <w:pPr>
        <w:tabs>
          <w:tab w:val="num" w:pos="2160"/>
        </w:tabs>
        <w:ind w:left="2160" w:hanging="360"/>
      </w:pPr>
      <w:rPr>
        <w:rFonts w:ascii="Arial" w:hAnsi="Arial" w:hint="default"/>
      </w:rPr>
    </w:lvl>
    <w:lvl w:ilvl="3" w:tplc="8AC41F56" w:tentative="1">
      <w:start w:val="1"/>
      <w:numFmt w:val="bullet"/>
      <w:lvlText w:val="•"/>
      <w:lvlJc w:val="left"/>
      <w:pPr>
        <w:tabs>
          <w:tab w:val="num" w:pos="2880"/>
        </w:tabs>
        <w:ind w:left="2880" w:hanging="360"/>
      </w:pPr>
      <w:rPr>
        <w:rFonts w:ascii="Arial" w:hAnsi="Arial" w:hint="default"/>
      </w:rPr>
    </w:lvl>
    <w:lvl w:ilvl="4" w:tplc="7974BB9A" w:tentative="1">
      <w:start w:val="1"/>
      <w:numFmt w:val="bullet"/>
      <w:lvlText w:val="•"/>
      <w:lvlJc w:val="left"/>
      <w:pPr>
        <w:tabs>
          <w:tab w:val="num" w:pos="3600"/>
        </w:tabs>
        <w:ind w:left="3600" w:hanging="360"/>
      </w:pPr>
      <w:rPr>
        <w:rFonts w:ascii="Arial" w:hAnsi="Arial" w:hint="default"/>
      </w:rPr>
    </w:lvl>
    <w:lvl w:ilvl="5" w:tplc="903851AC" w:tentative="1">
      <w:start w:val="1"/>
      <w:numFmt w:val="bullet"/>
      <w:lvlText w:val="•"/>
      <w:lvlJc w:val="left"/>
      <w:pPr>
        <w:tabs>
          <w:tab w:val="num" w:pos="4320"/>
        </w:tabs>
        <w:ind w:left="4320" w:hanging="360"/>
      </w:pPr>
      <w:rPr>
        <w:rFonts w:ascii="Arial" w:hAnsi="Arial" w:hint="default"/>
      </w:rPr>
    </w:lvl>
    <w:lvl w:ilvl="6" w:tplc="B71053D0" w:tentative="1">
      <w:start w:val="1"/>
      <w:numFmt w:val="bullet"/>
      <w:lvlText w:val="•"/>
      <w:lvlJc w:val="left"/>
      <w:pPr>
        <w:tabs>
          <w:tab w:val="num" w:pos="5040"/>
        </w:tabs>
        <w:ind w:left="5040" w:hanging="360"/>
      </w:pPr>
      <w:rPr>
        <w:rFonts w:ascii="Arial" w:hAnsi="Arial" w:hint="default"/>
      </w:rPr>
    </w:lvl>
    <w:lvl w:ilvl="7" w:tplc="BC3CF846" w:tentative="1">
      <w:start w:val="1"/>
      <w:numFmt w:val="bullet"/>
      <w:lvlText w:val="•"/>
      <w:lvlJc w:val="left"/>
      <w:pPr>
        <w:tabs>
          <w:tab w:val="num" w:pos="5760"/>
        </w:tabs>
        <w:ind w:left="5760" w:hanging="360"/>
      </w:pPr>
      <w:rPr>
        <w:rFonts w:ascii="Arial" w:hAnsi="Arial" w:hint="default"/>
      </w:rPr>
    </w:lvl>
    <w:lvl w:ilvl="8" w:tplc="3D706D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B40C5"/>
    <w:multiLevelType w:val="hybridMultilevel"/>
    <w:tmpl w:val="F4E8FF12"/>
    <w:lvl w:ilvl="0" w:tplc="FB3CDA86">
      <w:start w:val="1"/>
      <w:numFmt w:val="bullet"/>
      <w:lvlText w:val="•"/>
      <w:lvlJc w:val="left"/>
      <w:pPr>
        <w:tabs>
          <w:tab w:val="num" w:pos="720"/>
        </w:tabs>
        <w:ind w:left="720" w:hanging="360"/>
      </w:pPr>
      <w:rPr>
        <w:rFonts w:ascii="Arial" w:hAnsi="Arial" w:hint="default"/>
      </w:rPr>
    </w:lvl>
    <w:lvl w:ilvl="1" w:tplc="E0E40792" w:tentative="1">
      <w:start w:val="1"/>
      <w:numFmt w:val="bullet"/>
      <w:lvlText w:val="•"/>
      <w:lvlJc w:val="left"/>
      <w:pPr>
        <w:tabs>
          <w:tab w:val="num" w:pos="1440"/>
        </w:tabs>
        <w:ind w:left="1440" w:hanging="360"/>
      </w:pPr>
      <w:rPr>
        <w:rFonts w:ascii="Arial" w:hAnsi="Arial" w:hint="default"/>
      </w:rPr>
    </w:lvl>
    <w:lvl w:ilvl="2" w:tplc="D1B47060" w:tentative="1">
      <w:start w:val="1"/>
      <w:numFmt w:val="bullet"/>
      <w:lvlText w:val="•"/>
      <w:lvlJc w:val="left"/>
      <w:pPr>
        <w:tabs>
          <w:tab w:val="num" w:pos="2160"/>
        </w:tabs>
        <w:ind w:left="2160" w:hanging="360"/>
      </w:pPr>
      <w:rPr>
        <w:rFonts w:ascii="Arial" w:hAnsi="Arial" w:hint="default"/>
      </w:rPr>
    </w:lvl>
    <w:lvl w:ilvl="3" w:tplc="B1CA3174" w:tentative="1">
      <w:start w:val="1"/>
      <w:numFmt w:val="bullet"/>
      <w:lvlText w:val="•"/>
      <w:lvlJc w:val="left"/>
      <w:pPr>
        <w:tabs>
          <w:tab w:val="num" w:pos="2880"/>
        </w:tabs>
        <w:ind w:left="2880" w:hanging="360"/>
      </w:pPr>
      <w:rPr>
        <w:rFonts w:ascii="Arial" w:hAnsi="Arial" w:hint="default"/>
      </w:rPr>
    </w:lvl>
    <w:lvl w:ilvl="4" w:tplc="8F4E2B68" w:tentative="1">
      <w:start w:val="1"/>
      <w:numFmt w:val="bullet"/>
      <w:lvlText w:val="•"/>
      <w:lvlJc w:val="left"/>
      <w:pPr>
        <w:tabs>
          <w:tab w:val="num" w:pos="3600"/>
        </w:tabs>
        <w:ind w:left="3600" w:hanging="360"/>
      </w:pPr>
      <w:rPr>
        <w:rFonts w:ascii="Arial" w:hAnsi="Arial" w:hint="default"/>
      </w:rPr>
    </w:lvl>
    <w:lvl w:ilvl="5" w:tplc="B85E8BF6" w:tentative="1">
      <w:start w:val="1"/>
      <w:numFmt w:val="bullet"/>
      <w:lvlText w:val="•"/>
      <w:lvlJc w:val="left"/>
      <w:pPr>
        <w:tabs>
          <w:tab w:val="num" w:pos="4320"/>
        </w:tabs>
        <w:ind w:left="4320" w:hanging="360"/>
      </w:pPr>
      <w:rPr>
        <w:rFonts w:ascii="Arial" w:hAnsi="Arial" w:hint="default"/>
      </w:rPr>
    </w:lvl>
    <w:lvl w:ilvl="6" w:tplc="C1208652" w:tentative="1">
      <w:start w:val="1"/>
      <w:numFmt w:val="bullet"/>
      <w:lvlText w:val="•"/>
      <w:lvlJc w:val="left"/>
      <w:pPr>
        <w:tabs>
          <w:tab w:val="num" w:pos="5040"/>
        </w:tabs>
        <w:ind w:left="5040" w:hanging="360"/>
      </w:pPr>
      <w:rPr>
        <w:rFonts w:ascii="Arial" w:hAnsi="Arial" w:hint="default"/>
      </w:rPr>
    </w:lvl>
    <w:lvl w:ilvl="7" w:tplc="85383DF2" w:tentative="1">
      <w:start w:val="1"/>
      <w:numFmt w:val="bullet"/>
      <w:lvlText w:val="•"/>
      <w:lvlJc w:val="left"/>
      <w:pPr>
        <w:tabs>
          <w:tab w:val="num" w:pos="5760"/>
        </w:tabs>
        <w:ind w:left="5760" w:hanging="360"/>
      </w:pPr>
      <w:rPr>
        <w:rFonts w:ascii="Arial" w:hAnsi="Arial" w:hint="default"/>
      </w:rPr>
    </w:lvl>
    <w:lvl w:ilvl="8" w:tplc="E2C8BF1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E1"/>
    <w:rsid w:val="005831CB"/>
    <w:rsid w:val="00656525"/>
    <w:rsid w:val="00657EF5"/>
    <w:rsid w:val="009166F9"/>
    <w:rsid w:val="00DF3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3535"/>
  <w15:chartTrackingRefBased/>
  <w15:docId w15:val="{B0EC7732-757B-4A26-886E-104B1621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D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3DE1"/>
    <w:rPr>
      <w:color w:val="0000FF"/>
      <w:u w:val="single"/>
    </w:rPr>
  </w:style>
  <w:style w:type="paragraph" w:styleId="ListParagraph">
    <w:name w:val="List Paragraph"/>
    <w:basedOn w:val="Normal"/>
    <w:uiPriority w:val="34"/>
    <w:qFormat/>
    <w:rsid w:val="00DF3DE1"/>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56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535743">
      <w:bodyDiv w:val="1"/>
      <w:marLeft w:val="0"/>
      <w:marRight w:val="0"/>
      <w:marTop w:val="0"/>
      <w:marBottom w:val="0"/>
      <w:divBdr>
        <w:top w:val="none" w:sz="0" w:space="0" w:color="auto"/>
        <w:left w:val="none" w:sz="0" w:space="0" w:color="auto"/>
        <w:bottom w:val="none" w:sz="0" w:space="0" w:color="auto"/>
        <w:right w:val="none" w:sz="0" w:space="0" w:color="auto"/>
      </w:divBdr>
    </w:div>
    <w:div w:id="561520515">
      <w:bodyDiv w:val="1"/>
      <w:marLeft w:val="0"/>
      <w:marRight w:val="0"/>
      <w:marTop w:val="0"/>
      <w:marBottom w:val="0"/>
      <w:divBdr>
        <w:top w:val="none" w:sz="0" w:space="0" w:color="auto"/>
        <w:left w:val="none" w:sz="0" w:space="0" w:color="auto"/>
        <w:bottom w:val="none" w:sz="0" w:space="0" w:color="auto"/>
        <w:right w:val="none" w:sz="0" w:space="0" w:color="auto"/>
      </w:divBdr>
    </w:div>
    <w:div w:id="594676924">
      <w:bodyDiv w:val="1"/>
      <w:marLeft w:val="0"/>
      <w:marRight w:val="0"/>
      <w:marTop w:val="0"/>
      <w:marBottom w:val="0"/>
      <w:divBdr>
        <w:top w:val="none" w:sz="0" w:space="0" w:color="auto"/>
        <w:left w:val="none" w:sz="0" w:space="0" w:color="auto"/>
        <w:bottom w:val="none" w:sz="0" w:space="0" w:color="auto"/>
        <w:right w:val="none" w:sz="0" w:space="0" w:color="auto"/>
      </w:divBdr>
    </w:div>
    <w:div w:id="860702770">
      <w:bodyDiv w:val="1"/>
      <w:marLeft w:val="0"/>
      <w:marRight w:val="0"/>
      <w:marTop w:val="0"/>
      <w:marBottom w:val="0"/>
      <w:divBdr>
        <w:top w:val="none" w:sz="0" w:space="0" w:color="auto"/>
        <w:left w:val="none" w:sz="0" w:space="0" w:color="auto"/>
        <w:bottom w:val="none" w:sz="0" w:space="0" w:color="auto"/>
        <w:right w:val="none" w:sz="0" w:space="0" w:color="auto"/>
      </w:divBdr>
    </w:div>
    <w:div w:id="1003321580">
      <w:bodyDiv w:val="1"/>
      <w:marLeft w:val="0"/>
      <w:marRight w:val="0"/>
      <w:marTop w:val="0"/>
      <w:marBottom w:val="0"/>
      <w:divBdr>
        <w:top w:val="none" w:sz="0" w:space="0" w:color="auto"/>
        <w:left w:val="none" w:sz="0" w:space="0" w:color="auto"/>
        <w:bottom w:val="none" w:sz="0" w:space="0" w:color="auto"/>
        <w:right w:val="none" w:sz="0" w:space="0" w:color="auto"/>
      </w:divBdr>
    </w:div>
    <w:div w:id="1294795312">
      <w:bodyDiv w:val="1"/>
      <w:marLeft w:val="0"/>
      <w:marRight w:val="0"/>
      <w:marTop w:val="0"/>
      <w:marBottom w:val="0"/>
      <w:divBdr>
        <w:top w:val="none" w:sz="0" w:space="0" w:color="auto"/>
        <w:left w:val="none" w:sz="0" w:space="0" w:color="auto"/>
        <w:bottom w:val="none" w:sz="0" w:space="0" w:color="auto"/>
        <w:right w:val="none" w:sz="0" w:space="0" w:color="auto"/>
      </w:divBdr>
      <w:divsChild>
        <w:div w:id="1997150560">
          <w:marLeft w:val="360"/>
          <w:marRight w:val="0"/>
          <w:marTop w:val="200"/>
          <w:marBottom w:val="0"/>
          <w:divBdr>
            <w:top w:val="none" w:sz="0" w:space="0" w:color="auto"/>
            <w:left w:val="none" w:sz="0" w:space="0" w:color="auto"/>
            <w:bottom w:val="none" w:sz="0" w:space="0" w:color="auto"/>
            <w:right w:val="none" w:sz="0" w:space="0" w:color="auto"/>
          </w:divBdr>
        </w:div>
        <w:div w:id="705330915">
          <w:marLeft w:val="360"/>
          <w:marRight w:val="0"/>
          <w:marTop w:val="200"/>
          <w:marBottom w:val="0"/>
          <w:divBdr>
            <w:top w:val="none" w:sz="0" w:space="0" w:color="auto"/>
            <w:left w:val="none" w:sz="0" w:space="0" w:color="auto"/>
            <w:bottom w:val="none" w:sz="0" w:space="0" w:color="auto"/>
            <w:right w:val="none" w:sz="0" w:space="0" w:color="auto"/>
          </w:divBdr>
        </w:div>
        <w:div w:id="1553079052">
          <w:marLeft w:val="360"/>
          <w:marRight w:val="0"/>
          <w:marTop w:val="200"/>
          <w:marBottom w:val="0"/>
          <w:divBdr>
            <w:top w:val="none" w:sz="0" w:space="0" w:color="auto"/>
            <w:left w:val="none" w:sz="0" w:space="0" w:color="auto"/>
            <w:bottom w:val="none" w:sz="0" w:space="0" w:color="auto"/>
            <w:right w:val="none" w:sz="0" w:space="0" w:color="auto"/>
          </w:divBdr>
        </w:div>
        <w:div w:id="1715537829">
          <w:marLeft w:val="360"/>
          <w:marRight w:val="0"/>
          <w:marTop w:val="200"/>
          <w:marBottom w:val="0"/>
          <w:divBdr>
            <w:top w:val="none" w:sz="0" w:space="0" w:color="auto"/>
            <w:left w:val="none" w:sz="0" w:space="0" w:color="auto"/>
            <w:bottom w:val="none" w:sz="0" w:space="0" w:color="auto"/>
            <w:right w:val="none" w:sz="0" w:space="0" w:color="auto"/>
          </w:divBdr>
        </w:div>
        <w:div w:id="1412393369">
          <w:marLeft w:val="360"/>
          <w:marRight w:val="0"/>
          <w:marTop w:val="200"/>
          <w:marBottom w:val="0"/>
          <w:divBdr>
            <w:top w:val="none" w:sz="0" w:space="0" w:color="auto"/>
            <w:left w:val="none" w:sz="0" w:space="0" w:color="auto"/>
            <w:bottom w:val="none" w:sz="0" w:space="0" w:color="auto"/>
            <w:right w:val="none" w:sz="0" w:space="0" w:color="auto"/>
          </w:divBdr>
        </w:div>
      </w:divsChild>
    </w:div>
    <w:div w:id="1470703574">
      <w:bodyDiv w:val="1"/>
      <w:marLeft w:val="0"/>
      <w:marRight w:val="0"/>
      <w:marTop w:val="0"/>
      <w:marBottom w:val="0"/>
      <w:divBdr>
        <w:top w:val="none" w:sz="0" w:space="0" w:color="auto"/>
        <w:left w:val="none" w:sz="0" w:space="0" w:color="auto"/>
        <w:bottom w:val="none" w:sz="0" w:space="0" w:color="auto"/>
        <w:right w:val="none" w:sz="0" w:space="0" w:color="auto"/>
      </w:divBdr>
    </w:div>
    <w:div w:id="1583903596">
      <w:bodyDiv w:val="1"/>
      <w:marLeft w:val="0"/>
      <w:marRight w:val="0"/>
      <w:marTop w:val="0"/>
      <w:marBottom w:val="0"/>
      <w:divBdr>
        <w:top w:val="none" w:sz="0" w:space="0" w:color="auto"/>
        <w:left w:val="none" w:sz="0" w:space="0" w:color="auto"/>
        <w:bottom w:val="none" w:sz="0" w:space="0" w:color="auto"/>
        <w:right w:val="none" w:sz="0" w:space="0" w:color="auto"/>
      </w:divBdr>
    </w:div>
    <w:div w:id="1839810191">
      <w:bodyDiv w:val="1"/>
      <w:marLeft w:val="0"/>
      <w:marRight w:val="0"/>
      <w:marTop w:val="0"/>
      <w:marBottom w:val="0"/>
      <w:divBdr>
        <w:top w:val="none" w:sz="0" w:space="0" w:color="auto"/>
        <w:left w:val="none" w:sz="0" w:space="0" w:color="auto"/>
        <w:bottom w:val="none" w:sz="0" w:space="0" w:color="auto"/>
        <w:right w:val="none" w:sz="0" w:space="0" w:color="auto"/>
      </w:divBdr>
      <w:divsChild>
        <w:div w:id="707147849">
          <w:marLeft w:val="360"/>
          <w:marRight w:val="0"/>
          <w:marTop w:val="200"/>
          <w:marBottom w:val="0"/>
          <w:divBdr>
            <w:top w:val="none" w:sz="0" w:space="0" w:color="auto"/>
            <w:left w:val="none" w:sz="0" w:space="0" w:color="auto"/>
            <w:bottom w:val="none" w:sz="0" w:space="0" w:color="auto"/>
            <w:right w:val="none" w:sz="0" w:space="0" w:color="auto"/>
          </w:divBdr>
        </w:div>
        <w:div w:id="1461798413">
          <w:marLeft w:val="360"/>
          <w:marRight w:val="0"/>
          <w:marTop w:val="200"/>
          <w:marBottom w:val="0"/>
          <w:divBdr>
            <w:top w:val="none" w:sz="0" w:space="0" w:color="auto"/>
            <w:left w:val="none" w:sz="0" w:space="0" w:color="auto"/>
            <w:bottom w:val="none" w:sz="0" w:space="0" w:color="auto"/>
            <w:right w:val="none" w:sz="0" w:space="0" w:color="auto"/>
          </w:divBdr>
        </w:div>
        <w:div w:id="1130173199">
          <w:marLeft w:val="360"/>
          <w:marRight w:val="0"/>
          <w:marTop w:val="200"/>
          <w:marBottom w:val="0"/>
          <w:divBdr>
            <w:top w:val="none" w:sz="0" w:space="0" w:color="auto"/>
            <w:left w:val="none" w:sz="0" w:space="0" w:color="auto"/>
            <w:bottom w:val="none" w:sz="0" w:space="0" w:color="auto"/>
            <w:right w:val="none" w:sz="0" w:space="0" w:color="auto"/>
          </w:divBdr>
        </w:div>
        <w:div w:id="1558541638">
          <w:marLeft w:val="360"/>
          <w:marRight w:val="0"/>
          <w:marTop w:val="200"/>
          <w:marBottom w:val="0"/>
          <w:divBdr>
            <w:top w:val="none" w:sz="0" w:space="0" w:color="auto"/>
            <w:left w:val="none" w:sz="0" w:space="0" w:color="auto"/>
            <w:bottom w:val="none" w:sz="0" w:space="0" w:color="auto"/>
            <w:right w:val="none" w:sz="0" w:space="0" w:color="auto"/>
          </w:divBdr>
        </w:div>
        <w:div w:id="624430801">
          <w:marLeft w:val="360"/>
          <w:marRight w:val="0"/>
          <w:marTop w:val="200"/>
          <w:marBottom w:val="0"/>
          <w:divBdr>
            <w:top w:val="none" w:sz="0" w:space="0" w:color="auto"/>
            <w:left w:val="none" w:sz="0" w:space="0" w:color="auto"/>
            <w:bottom w:val="none" w:sz="0" w:space="0" w:color="auto"/>
            <w:right w:val="none" w:sz="0" w:space="0" w:color="auto"/>
          </w:divBdr>
        </w:div>
      </w:divsChild>
    </w:div>
    <w:div w:id="188732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liefweb.int/report/world/save-our-future-averting-education-catastrophe-world-s-children" TargetMode="External"/><Relationship Id="rId5" Type="http://schemas.openxmlformats.org/officeDocument/2006/relationships/hyperlink" Target="https://integratedcarefoundation.org/wp-content/uploads/2020/10/Disability-Rights-During-the-Pandemic-report-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3365</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3</cp:revision>
  <cp:lastPrinted>2020-11-06T10:58:00Z</cp:lastPrinted>
  <dcterms:created xsi:type="dcterms:W3CDTF">2020-11-05T12:25:00Z</dcterms:created>
  <dcterms:modified xsi:type="dcterms:W3CDTF">2020-11-08T19:06:00Z</dcterms:modified>
</cp:coreProperties>
</file>